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4AFC" w:rsidRPr="00DC6575" w:rsidRDefault="006E4AFC" w:rsidP="006E4AFC">
      <w:pPr>
        <w:jc w:val="center"/>
        <w:rPr>
          <w:b/>
          <w:color w:val="000000"/>
          <w:lang w:val="uk-UA"/>
        </w:rPr>
      </w:pPr>
      <w:r w:rsidRPr="00415C4A">
        <w:rPr>
          <w:b/>
          <w:color w:val="000000"/>
          <w:lang w:val="uk-UA"/>
        </w:rPr>
        <w:t>ПОВНЕ ТОВАРИСТВО «ЛОМБАРД «ФОРУМ»</w:t>
      </w:r>
      <w:r w:rsidRPr="00DC6575">
        <w:rPr>
          <w:b/>
          <w:color w:val="000000"/>
        </w:rPr>
        <w:t>(</w:t>
      </w:r>
      <w:r>
        <w:rPr>
          <w:b/>
          <w:color w:val="000000"/>
          <w:lang w:val="uk-UA"/>
        </w:rPr>
        <w:t>МИХАЙЛЕНКО І КОМПАНІЯ)</w:t>
      </w:r>
    </w:p>
    <w:p w:rsidR="006E4AFC" w:rsidRDefault="006E4AFC" w:rsidP="006E4AFC">
      <w:pPr>
        <w:jc w:val="center"/>
        <w:rPr>
          <w:color w:val="000000"/>
          <w:lang w:val="uk-UA"/>
        </w:rPr>
      </w:pPr>
      <w:r w:rsidRPr="00415C4A">
        <w:rPr>
          <w:color w:val="000000"/>
          <w:lang w:val="uk-UA"/>
        </w:rPr>
        <w:t xml:space="preserve">Україна, </w:t>
      </w:r>
      <w:r>
        <w:rPr>
          <w:color w:val="000000"/>
          <w:lang w:val="uk-UA"/>
        </w:rPr>
        <w:t>м. Черкаси, вул. Вернигори,12 (тел. 047</w:t>
      </w:r>
      <w:r w:rsidRPr="00273490">
        <w:rPr>
          <w:color w:val="000000"/>
        </w:rPr>
        <w:t>2510491</w:t>
      </w:r>
      <w:r>
        <w:rPr>
          <w:color w:val="000000"/>
          <w:lang w:val="uk-UA"/>
        </w:rPr>
        <w:t>)</w:t>
      </w:r>
    </w:p>
    <w:p w:rsidR="006E4AFC" w:rsidRPr="00273490" w:rsidRDefault="006E4AFC" w:rsidP="006E4AFC">
      <w:pPr>
        <w:pBdr>
          <w:bottom w:val="single" w:sz="12" w:space="1" w:color="auto"/>
        </w:pBdr>
        <w:tabs>
          <w:tab w:val="center" w:pos="4677"/>
          <w:tab w:val="left" w:pos="8130"/>
        </w:tabs>
        <w:jc w:val="center"/>
        <w:rPr>
          <w:color w:val="000000"/>
        </w:rPr>
      </w:pPr>
      <w:r>
        <w:rPr>
          <w:color w:val="000000"/>
          <w:lang w:val="uk-UA"/>
        </w:rPr>
        <w:t>Код 32034093</w:t>
      </w:r>
      <w:r w:rsidR="00273490">
        <w:rPr>
          <w:color w:val="000000"/>
          <w:lang w:val="uk-UA"/>
        </w:rPr>
        <w:t xml:space="preserve">, єл.почта </w:t>
      </w:r>
      <w:r w:rsidR="00273490">
        <w:rPr>
          <w:color w:val="000000"/>
          <w:lang w:val="en-US"/>
        </w:rPr>
        <w:t>forum</w:t>
      </w:r>
      <w:r w:rsidR="00273490" w:rsidRPr="00273490">
        <w:rPr>
          <w:color w:val="000000"/>
        </w:rPr>
        <w:t>.</w:t>
      </w:r>
      <w:r w:rsidR="00273490">
        <w:rPr>
          <w:color w:val="000000"/>
          <w:lang w:val="en-US"/>
        </w:rPr>
        <w:t>pshop</w:t>
      </w:r>
      <w:r w:rsidR="00273490" w:rsidRPr="00273490">
        <w:rPr>
          <w:color w:val="000000"/>
        </w:rPr>
        <w:t>@</w:t>
      </w:r>
      <w:r w:rsidR="00273490">
        <w:rPr>
          <w:color w:val="000000"/>
          <w:lang w:val="en-US"/>
        </w:rPr>
        <w:t>gmail</w:t>
      </w:r>
      <w:r w:rsidR="00273490" w:rsidRPr="00273490">
        <w:rPr>
          <w:color w:val="000000"/>
        </w:rPr>
        <w:t>.</w:t>
      </w:r>
      <w:r w:rsidR="00273490">
        <w:rPr>
          <w:color w:val="000000"/>
          <w:lang w:val="en-US"/>
        </w:rPr>
        <w:t>com</w:t>
      </w:r>
    </w:p>
    <w:p w:rsidR="006E4AFC" w:rsidRPr="00A51F57" w:rsidRDefault="006E4AFC" w:rsidP="006E4AFC"/>
    <w:p w:rsidR="005E61E5" w:rsidRPr="008B7C73" w:rsidRDefault="005E61E5" w:rsidP="000E4F70">
      <w:pPr>
        <w:jc w:val="both"/>
        <w:rPr>
          <w:sz w:val="4"/>
          <w:szCs w:val="4"/>
          <w:lang w:val="uk-UA"/>
        </w:rPr>
      </w:pPr>
    </w:p>
    <w:p w:rsidR="005E61E5" w:rsidRPr="00CB4D32" w:rsidRDefault="005E61E5" w:rsidP="000E4F70">
      <w:pPr>
        <w:jc w:val="both"/>
        <w:rPr>
          <w:sz w:val="4"/>
          <w:szCs w:val="4"/>
          <w:lang w:val="uk-UA"/>
        </w:rPr>
      </w:pPr>
    </w:p>
    <w:p w:rsidR="00701C23" w:rsidRDefault="00701C23" w:rsidP="00C429BC">
      <w:pPr>
        <w:jc w:val="center"/>
        <w:rPr>
          <w:b/>
          <w:lang w:val="uk-UA"/>
        </w:rPr>
      </w:pPr>
    </w:p>
    <w:p w:rsidR="00C429BC" w:rsidRPr="00C429BC" w:rsidRDefault="00C429BC" w:rsidP="00C429BC">
      <w:pPr>
        <w:jc w:val="center"/>
        <w:rPr>
          <w:b/>
          <w:lang w:val="uk-UA"/>
        </w:rPr>
      </w:pPr>
    </w:p>
    <w:p w:rsidR="00C429BC" w:rsidRPr="00273490" w:rsidRDefault="005E61E5" w:rsidP="00C429BC">
      <w:pPr>
        <w:ind w:firstLine="567"/>
        <w:jc w:val="center"/>
        <w:rPr>
          <w:b/>
          <w:sz w:val="32"/>
          <w:szCs w:val="32"/>
          <w:lang w:val="uk-UA"/>
        </w:rPr>
      </w:pPr>
      <w:r w:rsidRPr="00273490">
        <w:rPr>
          <w:b/>
          <w:sz w:val="32"/>
          <w:szCs w:val="32"/>
          <w:lang w:val="uk-UA"/>
        </w:rPr>
        <w:t>Примітки до фінансової звітності</w:t>
      </w:r>
    </w:p>
    <w:p w:rsidR="005E61E5" w:rsidRPr="00273490" w:rsidRDefault="005E61E5" w:rsidP="00C429BC">
      <w:pPr>
        <w:ind w:firstLine="567"/>
        <w:jc w:val="center"/>
        <w:rPr>
          <w:b/>
          <w:sz w:val="32"/>
          <w:szCs w:val="32"/>
          <w:lang w:val="uk-UA"/>
        </w:rPr>
      </w:pPr>
      <w:r w:rsidRPr="00273490">
        <w:rPr>
          <w:b/>
          <w:sz w:val="32"/>
          <w:szCs w:val="32"/>
          <w:lang w:val="uk-UA"/>
        </w:rPr>
        <w:t xml:space="preserve">за </w:t>
      </w:r>
      <w:r w:rsidR="00C36412" w:rsidRPr="00273490">
        <w:rPr>
          <w:b/>
          <w:sz w:val="32"/>
          <w:szCs w:val="32"/>
          <w:lang w:val="uk-UA"/>
        </w:rPr>
        <w:t>рік</w:t>
      </w:r>
      <w:r w:rsidRPr="00273490">
        <w:rPr>
          <w:b/>
          <w:sz w:val="32"/>
          <w:szCs w:val="32"/>
          <w:lang w:val="uk-UA"/>
        </w:rPr>
        <w:t>, що закінчився 3</w:t>
      </w:r>
      <w:r w:rsidR="00C95D32" w:rsidRPr="00273490">
        <w:rPr>
          <w:b/>
          <w:sz w:val="32"/>
          <w:szCs w:val="32"/>
        </w:rPr>
        <w:t>1</w:t>
      </w:r>
      <w:r w:rsidRPr="00273490">
        <w:rPr>
          <w:b/>
          <w:sz w:val="32"/>
          <w:szCs w:val="32"/>
          <w:lang w:val="uk-UA"/>
        </w:rPr>
        <w:t xml:space="preserve"> </w:t>
      </w:r>
      <w:r w:rsidR="00C95D32" w:rsidRPr="00273490">
        <w:rPr>
          <w:b/>
          <w:sz w:val="32"/>
          <w:szCs w:val="32"/>
          <w:lang w:val="uk-UA"/>
        </w:rPr>
        <w:t>грудня</w:t>
      </w:r>
      <w:r w:rsidRPr="00273490">
        <w:rPr>
          <w:b/>
          <w:sz w:val="32"/>
          <w:szCs w:val="32"/>
          <w:lang w:val="uk-UA"/>
        </w:rPr>
        <w:t xml:space="preserve"> </w:t>
      </w:r>
      <w:r w:rsidR="00FA675C" w:rsidRPr="00273490">
        <w:rPr>
          <w:b/>
          <w:sz w:val="32"/>
          <w:szCs w:val="32"/>
          <w:lang w:val="uk-UA"/>
        </w:rPr>
        <w:t xml:space="preserve"> </w:t>
      </w:r>
      <w:r w:rsidR="00E4704D" w:rsidRPr="00273490">
        <w:rPr>
          <w:b/>
          <w:sz w:val="32"/>
          <w:szCs w:val="32"/>
          <w:lang w:val="uk-UA"/>
        </w:rPr>
        <w:t>20</w:t>
      </w:r>
      <w:r w:rsidR="00E4704D" w:rsidRPr="00273490">
        <w:rPr>
          <w:b/>
          <w:sz w:val="32"/>
          <w:szCs w:val="32"/>
        </w:rPr>
        <w:t>2</w:t>
      </w:r>
      <w:r w:rsidR="00BB5110" w:rsidRPr="00273490">
        <w:rPr>
          <w:b/>
          <w:sz w:val="32"/>
          <w:szCs w:val="32"/>
        </w:rPr>
        <w:t>1</w:t>
      </w:r>
      <w:r w:rsidRPr="00273490">
        <w:rPr>
          <w:b/>
          <w:sz w:val="32"/>
          <w:szCs w:val="32"/>
          <w:lang w:val="uk-UA"/>
        </w:rPr>
        <w:t xml:space="preserve"> року.</w:t>
      </w:r>
    </w:p>
    <w:p w:rsidR="005E61E5" w:rsidRPr="00273490" w:rsidRDefault="005E61E5" w:rsidP="00C429BC">
      <w:pPr>
        <w:ind w:firstLine="567"/>
        <w:jc w:val="center"/>
        <w:rPr>
          <w:sz w:val="32"/>
          <w:szCs w:val="32"/>
          <w:lang w:val="uk-UA"/>
        </w:rPr>
      </w:pPr>
    </w:p>
    <w:p w:rsidR="00C429BC" w:rsidRPr="00C429BC" w:rsidRDefault="00C429BC" w:rsidP="00C429BC">
      <w:pPr>
        <w:ind w:firstLine="567"/>
        <w:jc w:val="center"/>
        <w:rPr>
          <w:lang w:val="uk-UA"/>
        </w:rPr>
      </w:pPr>
    </w:p>
    <w:p w:rsidR="005E61E5" w:rsidRDefault="005E61E5" w:rsidP="0028425A">
      <w:pPr>
        <w:numPr>
          <w:ilvl w:val="0"/>
          <w:numId w:val="14"/>
        </w:numPr>
        <w:jc w:val="both"/>
        <w:rPr>
          <w:b/>
          <w:lang w:val="uk-UA"/>
        </w:rPr>
      </w:pPr>
      <w:r w:rsidRPr="00C429BC">
        <w:rPr>
          <w:b/>
          <w:lang w:val="uk-UA"/>
        </w:rPr>
        <w:t>Загальна інформація</w:t>
      </w:r>
    </w:p>
    <w:p w:rsidR="00C429BC" w:rsidRPr="00C429BC" w:rsidRDefault="00C429BC" w:rsidP="00C429BC">
      <w:pPr>
        <w:ind w:left="567"/>
        <w:jc w:val="both"/>
        <w:rPr>
          <w:b/>
          <w:lang w:val="uk-UA"/>
        </w:rPr>
      </w:pPr>
    </w:p>
    <w:p w:rsidR="005E61E5" w:rsidRPr="00DD57A1" w:rsidRDefault="00F12868" w:rsidP="00EA7DC6">
      <w:pPr>
        <w:ind w:firstLine="567"/>
        <w:jc w:val="both"/>
        <w:rPr>
          <w:lang w:val="uk-UA"/>
        </w:rPr>
      </w:pPr>
      <w:r>
        <w:rPr>
          <w:lang w:val="uk-UA"/>
        </w:rPr>
        <w:t>ПО</w:t>
      </w:r>
      <w:r w:rsidR="006E4AFC">
        <w:rPr>
          <w:lang w:val="uk-UA"/>
        </w:rPr>
        <w:t>ВНЕ ТОВАРИСТВО «ЛОМБАРД «ФОРУМ»</w:t>
      </w:r>
      <w:r>
        <w:rPr>
          <w:lang w:val="uk-UA"/>
        </w:rPr>
        <w:t xml:space="preserve"> МИХАЙЛЕНКО І К</w:t>
      </w:r>
      <w:r w:rsidR="005E61E5" w:rsidRPr="00DD57A1">
        <w:rPr>
          <w:b/>
          <w:bCs/>
          <w:i/>
          <w:lang w:val="uk-UA"/>
        </w:rPr>
        <w:t xml:space="preserve"> </w:t>
      </w:r>
      <w:r w:rsidR="005E61E5" w:rsidRPr="00DD57A1">
        <w:rPr>
          <w:lang w:val="uk-UA"/>
        </w:rPr>
        <w:t xml:space="preserve">  (далі за тек</w:t>
      </w:r>
      <w:r w:rsidR="006E4AFC">
        <w:rPr>
          <w:lang w:val="uk-UA"/>
        </w:rPr>
        <w:t xml:space="preserve">стом -«Компанія») </w:t>
      </w:r>
      <w:r w:rsidR="006E4AFC" w:rsidRPr="00FB6615">
        <w:rPr>
          <w:lang w:val="uk-UA"/>
        </w:rPr>
        <w:t>зареєстровано Черкаським міськвиконкомом        13.05.2004</w:t>
      </w:r>
      <w:r w:rsidR="006E4AFC">
        <w:rPr>
          <w:lang w:val="uk-UA"/>
        </w:rPr>
        <w:t>р.</w:t>
      </w:r>
      <w:r w:rsidR="005E61E5" w:rsidRPr="001429C9">
        <w:rPr>
          <w:highlight w:val="yellow"/>
          <w:lang w:val="uk-UA"/>
        </w:rPr>
        <w:t>.</w:t>
      </w:r>
      <w:r w:rsidR="005E61E5" w:rsidRPr="00DD57A1">
        <w:rPr>
          <w:lang w:val="uk-UA"/>
        </w:rPr>
        <w:t xml:space="preserve"> Виключним видом  діяльності компанії є надання на власний ризик фінансових кредитів фізичним особам за рахунок власних або залучених коштів під заставу майна на визначений строк та під процент та надання визначених законодавством супутніх послуг. Компанія здійснює свою діяльність на підставі свідоцтва про реєстрацію фінансової установи, виданого Державною комісією з регулювання ринків фінансових послуг України. Компанія надає наступні фінансові послуги :</w:t>
      </w:r>
    </w:p>
    <w:p w:rsidR="005E61E5" w:rsidRPr="00DD57A1" w:rsidRDefault="005E61E5" w:rsidP="00EA7DC6">
      <w:pPr>
        <w:pStyle w:val="2"/>
        <w:numPr>
          <w:ilvl w:val="0"/>
          <w:numId w:val="7"/>
        </w:numPr>
        <w:ind w:left="540" w:firstLine="0"/>
        <w:rPr>
          <w:bCs/>
          <w:color w:val="000000"/>
          <w:sz w:val="24"/>
          <w:szCs w:val="24"/>
        </w:rPr>
      </w:pPr>
      <w:r w:rsidRPr="00DD57A1">
        <w:rPr>
          <w:bCs/>
          <w:color w:val="000000"/>
          <w:sz w:val="24"/>
          <w:szCs w:val="24"/>
        </w:rPr>
        <w:t xml:space="preserve">Надання </w:t>
      </w:r>
      <w:r w:rsidR="006647B1">
        <w:rPr>
          <w:bCs/>
          <w:color w:val="000000"/>
          <w:sz w:val="24"/>
          <w:szCs w:val="24"/>
        </w:rPr>
        <w:t>коштів у позику, в тому числі і на умовах фінансового кредиту.</w:t>
      </w:r>
    </w:p>
    <w:p w:rsidR="005E61E5" w:rsidRDefault="005E61E5" w:rsidP="00EA7DC6">
      <w:pPr>
        <w:pStyle w:val="2"/>
        <w:ind w:firstLine="567"/>
        <w:rPr>
          <w:bCs/>
          <w:color w:val="000000"/>
          <w:sz w:val="24"/>
          <w:szCs w:val="24"/>
        </w:rPr>
      </w:pPr>
      <w:r w:rsidRPr="00DD57A1">
        <w:rPr>
          <w:bCs/>
          <w:color w:val="000000"/>
          <w:sz w:val="24"/>
          <w:szCs w:val="24"/>
        </w:rPr>
        <w:t>Компанія надає наступні супутні послуги:</w:t>
      </w:r>
    </w:p>
    <w:p w:rsidR="008768BE" w:rsidRPr="00DD57A1" w:rsidRDefault="008768BE" w:rsidP="00EA7DC6">
      <w:pPr>
        <w:pStyle w:val="2"/>
        <w:ind w:firstLine="540"/>
        <w:rPr>
          <w:bCs/>
          <w:color w:val="000000"/>
          <w:sz w:val="24"/>
          <w:szCs w:val="24"/>
        </w:rPr>
      </w:pPr>
      <w:r>
        <w:rPr>
          <w:bCs/>
          <w:color w:val="000000"/>
          <w:sz w:val="24"/>
          <w:szCs w:val="24"/>
        </w:rPr>
        <w:t xml:space="preserve">- </w:t>
      </w:r>
      <w:r w:rsidRPr="008768BE">
        <w:rPr>
          <w:bCs/>
          <w:color w:val="000000"/>
          <w:sz w:val="24"/>
          <w:szCs w:val="24"/>
        </w:rPr>
        <w:t>надання посередницьких послуг зі страхування предмета застави на підставі агентського договору зі страховою компанією;</w:t>
      </w:r>
    </w:p>
    <w:p w:rsidR="005E61E5" w:rsidRPr="00DD57A1" w:rsidRDefault="008768BE" w:rsidP="00EA7DC6">
      <w:pPr>
        <w:pStyle w:val="2"/>
        <w:numPr>
          <w:ilvl w:val="0"/>
          <w:numId w:val="7"/>
        </w:numPr>
        <w:ind w:left="0" w:firstLine="540"/>
        <w:rPr>
          <w:bCs/>
          <w:color w:val="000000"/>
          <w:sz w:val="24"/>
          <w:szCs w:val="24"/>
        </w:rPr>
      </w:pPr>
      <w:r>
        <w:rPr>
          <w:bCs/>
          <w:color w:val="000000"/>
          <w:sz w:val="24"/>
          <w:szCs w:val="24"/>
        </w:rPr>
        <w:t>р</w:t>
      </w:r>
      <w:r w:rsidR="005E61E5" w:rsidRPr="00DD57A1">
        <w:rPr>
          <w:bCs/>
          <w:color w:val="000000"/>
          <w:sz w:val="24"/>
          <w:szCs w:val="24"/>
        </w:rPr>
        <w:t>еалізація заставленого майна відповідно до чинного законодавства та/або умов договору.</w:t>
      </w:r>
    </w:p>
    <w:p w:rsidR="005E61E5" w:rsidRPr="00DD57A1" w:rsidRDefault="005E61E5" w:rsidP="00EA7DC6">
      <w:pPr>
        <w:pStyle w:val="2"/>
        <w:ind w:firstLine="567"/>
        <w:rPr>
          <w:bCs/>
          <w:color w:val="000000"/>
          <w:sz w:val="24"/>
          <w:szCs w:val="24"/>
        </w:rPr>
      </w:pPr>
      <w:r w:rsidRPr="00DD57A1">
        <w:rPr>
          <w:bCs/>
          <w:color w:val="000000"/>
          <w:sz w:val="24"/>
          <w:szCs w:val="24"/>
        </w:rPr>
        <w:t xml:space="preserve">Компанія має </w:t>
      </w:r>
      <w:r w:rsidR="00457458">
        <w:rPr>
          <w:bCs/>
          <w:color w:val="000000"/>
          <w:sz w:val="24"/>
          <w:szCs w:val="24"/>
        </w:rPr>
        <w:t>ліцензію на н</w:t>
      </w:r>
      <w:r w:rsidR="00457458" w:rsidRPr="00DD57A1">
        <w:rPr>
          <w:bCs/>
          <w:color w:val="000000"/>
          <w:sz w:val="24"/>
          <w:szCs w:val="24"/>
        </w:rPr>
        <w:t xml:space="preserve">адання </w:t>
      </w:r>
      <w:r w:rsidR="00457458">
        <w:rPr>
          <w:bCs/>
          <w:color w:val="000000"/>
          <w:sz w:val="24"/>
          <w:szCs w:val="24"/>
        </w:rPr>
        <w:t>коштів у позику, в тому числі і на умовах фінансового кредиту</w:t>
      </w:r>
      <w:r w:rsidRPr="00DD57A1">
        <w:rPr>
          <w:bCs/>
          <w:color w:val="000000"/>
          <w:sz w:val="24"/>
          <w:szCs w:val="24"/>
        </w:rPr>
        <w:t>.</w:t>
      </w:r>
    </w:p>
    <w:p w:rsidR="005E61E5" w:rsidRPr="001429C9" w:rsidRDefault="005E61E5" w:rsidP="00EA7DC6">
      <w:pPr>
        <w:ind w:firstLine="567"/>
        <w:jc w:val="both"/>
        <w:rPr>
          <w:lang w:val="uk-UA"/>
        </w:rPr>
      </w:pPr>
      <w:r w:rsidRPr="00DD57A1">
        <w:rPr>
          <w:lang w:val="uk-UA"/>
        </w:rPr>
        <w:t>Міс</w:t>
      </w:r>
      <w:r w:rsidR="001429C9">
        <w:rPr>
          <w:lang w:val="uk-UA"/>
        </w:rPr>
        <w:t>це знаходження Компанії:</w:t>
      </w:r>
      <w:r w:rsidR="006E4AFC">
        <w:rPr>
          <w:lang w:val="uk-UA"/>
        </w:rPr>
        <w:t xml:space="preserve"> 18008, м.Черкаси, Вернигори 12</w:t>
      </w:r>
    </w:p>
    <w:p w:rsidR="002E4AFB" w:rsidRPr="00DD57A1" w:rsidRDefault="000F45ED" w:rsidP="00EA7DC6">
      <w:pPr>
        <w:ind w:firstLine="540"/>
        <w:jc w:val="both"/>
        <w:rPr>
          <w:lang w:val="uk-UA"/>
        </w:rPr>
      </w:pPr>
      <w:r w:rsidRPr="00DD57A1">
        <w:rPr>
          <w:lang w:val="uk-UA"/>
        </w:rPr>
        <w:t>Компанія</w:t>
      </w:r>
      <w:r w:rsidR="002E4AFB" w:rsidRPr="00DD57A1">
        <w:rPr>
          <w:lang w:val="uk-UA"/>
        </w:rPr>
        <w:t xml:space="preserve"> не має дочірніх компаній, філій, представництв</w:t>
      </w:r>
      <w:r w:rsidR="002E4AFB" w:rsidRPr="00DD57A1">
        <w:rPr>
          <w:color w:val="000000"/>
          <w:lang w:val="uk-UA"/>
        </w:rPr>
        <w:t xml:space="preserve"> та не складає консолідовану фінансову звітність</w:t>
      </w:r>
      <w:r w:rsidR="002E4AFB" w:rsidRPr="00DD57A1">
        <w:rPr>
          <w:lang w:val="uk-UA"/>
        </w:rPr>
        <w:t xml:space="preserve"> .</w:t>
      </w:r>
    </w:p>
    <w:p w:rsidR="002E4AFB" w:rsidRPr="00DD57A1" w:rsidRDefault="00DA4DC4" w:rsidP="00EA7DC6">
      <w:pPr>
        <w:ind w:firstLine="540"/>
        <w:jc w:val="both"/>
        <w:rPr>
          <w:lang w:val="uk-UA"/>
        </w:rPr>
      </w:pPr>
      <w:r>
        <w:rPr>
          <w:lang w:val="uk-UA"/>
        </w:rPr>
        <w:t xml:space="preserve">На кінець </w:t>
      </w:r>
      <w:r w:rsidR="002E4AFB" w:rsidRPr="00DD57A1">
        <w:rPr>
          <w:lang w:val="uk-UA"/>
        </w:rPr>
        <w:t>20</w:t>
      </w:r>
      <w:r w:rsidR="00E4704D" w:rsidRPr="00E4704D">
        <w:t>2</w:t>
      </w:r>
      <w:r w:rsidR="00BB5110" w:rsidRPr="00BB5110">
        <w:t>1</w:t>
      </w:r>
      <w:r w:rsidR="00307C4E">
        <w:rPr>
          <w:lang w:val="uk-UA"/>
        </w:rPr>
        <w:t xml:space="preserve"> року</w:t>
      </w:r>
      <w:r w:rsidR="002E4AFB" w:rsidRPr="00DD57A1">
        <w:rPr>
          <w:lang w:val="uk-UA"/>
        </w:rPr>
        <w:t xml:space="preserve"> </w:t>
      </w:r>
      <w:r w:rsidR="000F45ED" w:rsidRPr="00DD57A1">
        <w:rPr>
          <w:lang w:val="uk-UA"/>
        </w:rPr>
        <w:t>Компанія</w:t>
      </w:r>
      <w:r w:rsidR="002E4AFB" w:rsidRPr="00DD57A1">
        <w:rPr>
          <w:lang w:val="uk-UA"/>
        </w:rPr>
        <w:t xml:space="preserve"> має </w:t>
      </w:r>
      <w:r w:rsidR="006E4AFC">
        <w:rPr>
          <w:lang w:val="uk-UA"/>
        </w:rPr>
        <w:t xml:space="preserve">сім </w:t>
      </w:r>
      <w:r w:rsidR="002E4AFB" w:rsidRPr="00DD57A1">
        <w:rPr>
          <w:lang w:val="uk-UA"/>
        </w:rPr>
        <w:t xml:space="preserve"> структурних </w:t>
      </w:r>
      <w:r w:rsidR="00D65BE8" w:rsidRPr="00DD57A1">
        <w:rPr>
          <w:lang w:val="uk-UA"/>
        </w:rPr>
        <w:t>підрозділ</w:t>
      </w:r>
      <w:r w:rsidR="006E4AFC">
        <w:rPr>
          <w:lang w:val="uk-UA"/>
        </w:rPr>
        <w:t>ів</w:t>
      </w:r>
      <w:r w:rsidR="002E4AFB" w:rsidRPr="00DD57A1">
        <w:rPr>
          <w:lang w:val="uk-UA"/>
        </w:rPr>
        <w:t>.</w:t>
      </w:r>
    </w:p>
    <w:p w:rsidR="002E4AFB" w:rsidRDefault="002E4AFB" w:rsidP="00EA7DC6">
      <w:pPr>
        <w:pStyle w:val="31"/>
        <w:shd w:val="clear" w:color="auto" w:fill="auto"/>
        <w:tabs>
          <w:tab w:val="left" w:pos="482"/>
        </w:tabs>
        <w:spacing w:line="240" w:lineRule="auto"/>
        <w:ind w:right="260" w:firstLine="540"/>
        <w:jc w:val="both"/>
        <w:rPr>
          <w:color w:val="000000"/>
          <w:sz w:val="24"/>
          <w:szCs w:val="24"/>
          <w:lang w:val="uk-UA"/>
        </w:rPr>
      </w:pPr>
      <w:r w:rsidRPr="00DD57A1">
        <w:rPr>
          <w:color w:val="000000"/>
          <w:sz w:val="24"/>
          <w:szCs w:val="24"/>
          <w:lang w:val="uk-UA"/>
        </w:rPr>
        <w:t>Господарсько-галузеві сегменти не виділені, товариство займається господарською діяльністю тільки на території України. Відповідно звітність за сегментами не складається.</w:t>
      </w:r>
    </w:p>
    <w:p w:rsidR="00F12868" w:rsidRPr="00FB6615" w:rsidRDefault="00F12868" w:rsidP="00F12868">
      <w:pPr>
        <w:ind w:firstLine="567"/>
        <w:jc w:val="both"/>
        <w:rPr>
          <w:sz w:val="18"/>
          <w:lang w:val="uk-UA"/>
        </w:rPr>
      </w:pPr>
      <w:r w:rsidRPr="00FB6615">
        <w:rPr>
          <w:lang w:val="uk-UA"/>
        </w:rPr>
        <w:t xml:space="preserve">Повне товариство «Ломбард «Форум» ( Михайленко і Компанія)  діє на підставі Засновницького договору і діючого законодавства, Закону України «Про фінансові послуги та державне регулювання ринків фінансових послуг» від 12 липня 2001р. № 2664-ІІІ. Останні зміни Засновницького договору, </w:t>
      </w:r>
      <w:r>
        <w:rPr>
          <w:lang w:val="uk-UA"/>
        </w:rPr>
        <w:t xml:space="preserve"> </w:t>
      </w:r>
      <w:r w:rsidRPr="00FB6615">
        <w:rPr>
          <w:lang w:val="uk-UA"/>
        </w:rPr>
        <w:t xml:space="preserve">в зв`язку з </w:t>
      </w:r>
      <w:r>
        <w:rPr>
          <w:lang w:val="uk-UA"/>
        </w:rPr>
        <w:t xml:space="preserve">виправленням помилок </w:t>
      </w:r>
      <w:r w:rsidRPr="00FB6615">
        <w:rPr>
          <w:lang w:val="uk-UA"/>
        </w:rPr>
        <w:t xml:space="preserve">, </w:t>
      </w:r>
      <w:r w:rsidRPr="0043458F">
        <w:rPr>
          <w:lang w:val="uk-UA"/>
        </w:rPr>
        <w:t xml:space="preserve">були </w:t>
      </w:r>
      <w:r w:rsidRPr="0043458F">
        <w:rPr>
          <w:color w:val="000000"/>
          <w:lang w:val="uk-UA"/>
        </w:rPr>
        <w:t>зареєстровані 10.05.2017 року Черкаським міськвиконкомом за  номером №10261050</w:t>
      </w:r>
      <w:r>
        <w:rPr>
          <w:color w:val="000000"/>
          <w:lang w:val="uk-UA"/>
        </w:rPr>
        <w:t>023</w:t>
      </w:r>
      <w:r w:rsidRPr="00FB6615">
        <w:rPr>
          <w:color w:val="000000"/>
          <w:lang w:val="uk-UA"/>
        </w:rPr>
        <w:t>003368, згідно протоколу зборів учасників ПТ «Ломбард «Форум»(Михайленко і Компанія)</w:t>
      </w:r>
      <w:r>
        <w:rPr>
          <w:color w:val="000000"/>
          <w:lang w:val="uk-UA"/>
        </w:rPr>
        <w:t xml:space="preserve"> № 57  від 25.04.2017</w:t>
      </w:r>
      <w:r w:rsidRPr="00FB6615">
        <w:rPr>
          <w:color w:val="000000"/>
          <w:lang w:val="uk-UA"/>
        </w:rPr>
        <w:t>року.</w:t>
      </w:r>
      <w:r w:rsidRPr="00FB6615">
        <w:rPr>
          <w:lang w:val="uk-UA"/>
        </w:rPr>
        <w:t xml:space="preserve"> Складений капітал Товариства   - </w:t>
      </w:r>
      <w:r>
        <w:rPr>
          <w:lang w:val="uk-UA"/>
        </w:rPr>
        <w:t>50</w:t>
      </w:r>
      <w:r w:rsidRPr="00FB6615">
        <w:rPr>
          <w:lang w:val="uk-UA"/>
        </w:rPr>
        <w:t>00000,00(</w:t>
      </w:r>
      <w:r>
        <w:rPr>
          <w:lang w:val="uk-UA"/>
        </w:rPr>
        <w:t>п’ять  мільйонів</w:t>
      </w:r>
      <w:r w:rsidRPr="00FB6615">
        <w:rPr>
          <w:lang w:val="uk-UA"/>
        </w:rPr>
        <w:t>) грн.. 00 копійок</w:t>
      </w:r>
      <w:r>
        <w:rPr>
          <w:lang w:val="uk-UA"/>
        </w:rPr>
        <w:t>, який</w:t>
      </w:r>
      <w:r w:rsidRPr="00FB6615">
        <w:rPr>
          <w:lang w:val="uk-UA"/>
        </w:rPr>
        <w:t xml:space="preserve"> на кінець року </w:t>
      </w:r>
      <w:r>
        <w:rPr>
          <w:lang w:val="uk-UA"/>
        </w:rPr>
        <w:t xml:space="preserve"> повністю сплачений </w:t>
      </w:r>
      <w:r w:rsidRPr="00FB6615">
        <w:rPr>
          <w:lang w:val="uk-UA"/>
        </w:rPr>
        <w:t>.</w:t>
      </w:r>
    </w:p>
    <w:p w:rsidR="00F12868" w:rsidRPr="00FB6615" w:rsidRDefault="00F12868" w:rsidP="00F12868">
      <w:pPr>
        <w:shd w:val="clear" w:color="auto" w:fill="FFFFFF"/>
        <w:ind w:firstLine="567"/>
        <w:jc w:val="both"/>
        <w:rPr>
          <w:b/>
          <w:i/>
          <w:iCs/>
          <w:color w:val="FF0000"/>
          <w:u w:val="single"/>
          <w:lang w:val="uk-UA"/>
        </w:rPr>
      </w:pPr>
      <w:r w:rsidRPr="00FB6615">
        <w:rPr>
          <w:lang w:val="uk-UA"/>
        </w:rPr>
        <w:t>Особами, відповідальними за фінансово-господарську діяльність компанії є:</w:t>
      </w:r>
    </w:p>
    <w:p w:rsidR="00F12868" w:rsidRPr="00FB6615" w:rsidRDefault="00F12868" w:rsidP="00F12868">
      <w:pPr>
        <w:numPr>
          <w:ilvl w:val="0"/>
          <w:numId w:val="25"/>
        </w:numPr>
        <w:suppressAutoHyphens/>
        <w:ind w:firstLine="567"/>
        <w:jc w:val="both"/>
        <w:rPr>
          <w:lang w:val="uk-UA"/>
        </w:rPr>
      </w:pPr>
      <w:r w:rsidRPr="00FB6615">
        <w:rPr>
          <w:lang w:val="uk-UA"/>
        </w:rPr>
        <w:t>Директор Михайленко В’ячеслав Миколайович,</w:t>
      </w:r>
      <w:r w:rsidRPr="00FB6615">
        <w:rPr>
          <w:color w:val="FF0000"/>
          <w:lang w:val="uk-UA"/>
        </w:rPr>
        <w:t xml:space="preserve"> </w:t>
      </w:r>
      <w:r w:rsidRPr="00FB6615">
        <w:rPr>
          <w:lang w:val="uk-UA"/>
        </w:rPr>
        <w:t>(Протокол № 15 від 12.05.2011р.) - весь період.</w:t>
      </w:r>
    </w:p>
    <w:p w:rsidR="00F12868" w:rsidRPr="00FB6615" w:rsidRDefault="00F12868" w:rsidP="00F12868">
      <w:pPr>
        <w:numPr>
          <w:ilvl w:val="0"/>
          <w:numId w:val="25"/>
        </w:numPr>
        <w:shd w:val="clear" w:color="auto" w:fill="FFFFFF"/>
        <w:suppressAutoHyphens/>
        <w:ind w:firstLine="567"/>
        <w:jc w:val="both"/>
        <w:rPr>
          <w:lang w:val="uk-UA"/>
        </w:rPr>
      </w:pPr>
      <w:r w:rsidRPr="00FB6615">
        <w:rPr>
          <w:lang w:val="uk-UA"/>
        </w:rPr>
        <w:t>Головний бухгалтер Семеренко Інеса Олександрівна,  (Наказ № 9-к від 20.03.2008 року)- весь період.</w:t>
      </w:r>
    </w:p>
    <w:p w:rsidR="00F12868" w:rsidRPr="00FB6615" w:rsidRDefault="00F12868" w:rsidP="00F12868">
      <w:pPr>
        <w:ind w:firstLine="567"/>
        <w:jc w:val="both"/>
        <w:rPr>
          <w:lang w:val="uk-UA"/>
        </w:rPr>
      </w:pPr>
      <w:r w:rsidRPr="00FB6615">
        <w:rPr>
          <w:lang w:val="uk-UA"/>
        </w:rPr>
        <w:t>ПТ «Ломбард «Форум» ( Михайленко і Компанія) є платником податку на прибуток на загальних підставах, та платником ПДВ.</w:t>
      </w:r>
    </w:p>
    <w:p w:rsidR="00F12868" w:rsidRPr="00FB6615" w:rsidRDefault="00F12868" w:rsidP="00F12868">
      <w:pPr>
        <w:autoSpaceDE w:val="0"/>
        <w:autoSpaceDN w:val="0"/>
        <w:adjustRightInd w:val="0"/>
        <w:ind w:firstLine="567"/>
        <w:jc w:val="both"/>
        <w:rPr>
          <w:lang w:val="uk-UA"/>
        </w:rPr>
      </w:pPr>
      <w:r w:rsidRPr="00FB6615">
        <w:rPr>
          <w:lang w:val="uk-UA"/>
        </w:rPr>
        <w:t>Для здійснення своєї діяльності Ломбард має право відкривати поточні банківські рахунки у національній та іноземній валюті.</w:t>
      </w:r>
    </w:p>
    <w:p w:rsidR="00F12868" w:rsidRPr="00FB6615" w:rsidRDefault="00F12868" w:rsidP="00F12868">
      <w:pPr>
        <w:autoSpaceDE w:val="0"/>
        <w:autoSpaceDN w:val="0"/>
        <w:adjustRightInd w:val="0"/>
        <w:ind w:firstLine="567"/>
        <w:jc w:val="both"/>
        <w:rPr>
          <w:lang w:val="uk-UA"/>
        </w:rPr>
      </w:pPr>
      <w:r w:rsidRPr="00FB6615">
        <w:rPr>
          <w:lang w:val="uk-UA"/>
        </w:rPr>
        <w:t>Метою діяльності Ломбарду є одержання прибутку в результаті здійснення діяльності на ринку фінансових послуг, а саме, інші види кредитування в порядку та за умов визначених чинним законодавством i Засновницьким договором, а також наступний розподіл цього прибутку між Засновниками.</w:t>
      </w:r>
      <w:r w:rsidRPr="00FB6615">
        <w:rPr>
          <w:lang w:val="uk-UA"/>
        </w:rPr>
        <w:tab/>
      </w:r>
    </w:p>
    <w:p w:rsidR="00F12868" w:rsidRPr="00FB6615" w:rsidRDefault="00F12868" w:rsidP="00F12868">
      <w:pPr>
        <w:ind w:firstLine="567"/>
        <w:jc w:val="both"/>
        <w:rPr>
          <w:lang w:val="uk-UA"/>
        </w:rPr>
      </w:pPr>
      <w:r w:rsidRPr="00FB6615">
        <w:rPr>
          <w:lang w:val="uk-UA"/>
        </w:rPr>
        <w:t>Середня кількість прац</w:t>
      </w:r>
      <w:r>
        <w:rPr>
          <w:lang w:val="uk-UA"/>
        </w:rPr>
        <w:t>івників товариства на кінець 2021</w:t>
      </w:r>
      <w:r w:rsidRPr="00FB6615">
        <w:rPr>
          <w:lang w:val="uk-UA"/>
        </w:rPr>
        <w:t xml:space="preserve"> р. становила </w:t>
      </w:r>
      <w:r>
        <w:rPr>
          <w:lang w:val="uk-UA"/>
        </w:rPr>
        <w:t>25</w:t>
      </w:r>
      <w:r w:rsidRPr="00FB6615">
        <w:rPr>
          <w:lang w:val="uk-UA"/>
        </w:rPr>
        <w:t xml:space="preserve"> чол.</w:t>
      </w:r>
    </w:p>
    <w:p w:rsidR="00F12868" w:rsidRPr="00FB6615" w:rsidRDefault="00F12868" w:rsidP="00F12868">
      <w:pPr>
        <w:autoSpaceDE w:val="0"/>
        <w:autoSpaceDN w:val="0"/>
        <w:adjustRightInd w:val="0"/>
        <w:ind w:firstLine="567"/>
        <w:jc w:val="both"/>
        <w:rPr>
          <w:lang w:val="uk-UA"/>
        </w:rPr>
      </w:pPr>
      <w:r w:rsidRPr="00FB6615">
        <w:rPr>
          <w:color w:val="000000"/>
          <w:lang w:val="uk-UA"/>
        </w:rPr>
        <w:t>Функціональною валютою підприємства є Українська гривня, яка є національною валю</w:t>
      </w:r>
      <w:r w:rsidRPr="00FB6615">
        <w:rPr>
          <w:color w:val="000000"/>
          <w:lang w:val="uk-UA"/>
        </w:rPr>
        <w:softHyphen/>
        <w:t>тою України, і найкращим чином відображає економічну сутність більшості операцій, що проводяться підприємством, і пов'язаних з ними обставинами, впливаючи на її діяльність.</w:t>
      </w:r>
    </w:p>
    <w:p w:rsidR="00F12868" w:rsidRPr="00FB6615" w:rsidRDefault="00F12868" w:rsidP="00F12868">
      <w:pPr>
        <w:shd w:val="clear" w:color="auto" w:fill="FFFFFF"/>
        <w:autoSpaceDE w:val="0"/>
        <w:autoSpaceDN w:val="0"/>
        <w:adjustRightInd w:val="0"/>
        <w:ind w:firstLine="567"/>
        <w:jc w:val="both"/>
        <w:rPr>
          <w:lang w:val="uk-UA"/>
        </w:rPr>
      </w:pPr>
      <w:r w:rsidRPr="00FB6615">
        <w:rPr>
          <w:color w:val="000000"/>
          <w:lang w:val="uk-UA"/>
        </w:rPr>
        <w:t>Українська гривня є також валютою пред</w:t>
      </w:r>
      <w:r w:rsidRPr="00FB6615">
        <w:rPr>
          <w:color w:val="000000"/>
          <w:lang w:val="uk-UA"/>
        </w:rPr>
        <w:softHyphen/>
        <w:t>ставлення фінансової звітності за Міжнарод</w:t>
      </w:r>
      <w:r w:rsidRPr="00FB6615">
        <w:rPr>
          <w:color w:val="000000"/>
          <w:lang w:val="uk-UA"/>
        </w:rPr>
        <w:softHyphen/>
        <w:t>ними стандартами.</w:t>
      </w:r>
    </w:p>
    <w:p w:rsidR="00F12868" w:rsidRPr="00FB6615" w:rsidRDefault="00F12868" w:rsidP="00F12868">
      <w:pPr>
        <w:shd w:val="clear" w:color="auto" w:fill="FFFFFF"/>
        <w:autoSpaceDE w:val="0"/>
        <w:autoSpaceDN w:val="0"/>
        <w:adjustRightInd w:val="0"/>
        <w:ind w:firstLine="567"/>
        <w:jc w:val="both"/>
        <w:rPr>
          <w:color w:val="000000"/>
          <w:lang w:val="uk-UA"/>
        </w:rPr>
      </w:pPr>
      <w:r w:rsidRPr="00FB6615">
        <w:rPr>
          <w:color w:val="000000"/>
          <w:lang w:val="uk-UA"/>
        </w:rPr>
        <w:t>Всі дані фінансової звітності округлені з точ</w:t>
      </w:r>
      <w:r w:rsidRPr="00FB6615">
        <w:rPr>
          <w:color w:val="000000"/>
          <w:lang w:val="uk-UA"/>
        </w:rPr>
        <w:softHyphen/>
        <w:t>ністю до цілих тисяч гривень.</w:t>
      </w:r>
    </w:p>
    <w:p w:rsidR="00F12868" w:rsidRPr="00FB6615" w:rsidRDefault="00F12868" w:rsidP="00F12868">
      <w:pPr>
        <w:shd w:val="clear" w:color="auto" w:fill="FFFFFF"/>
        <w:autoSpaceDE w:val="0"/>
        <w:autoSpaceDN w:val="0"/>
        <w:adjustRightInd w:val="0"/>
        <w:ind w:firstLine="540"/>
        <w:jc w:val="both"/>
        <w:rPr>
          <w:lang w:val="uk-UA"/>
        </w:rPr>
      </w:pPr>
      <w:r w:rsidRPr="00FB6615">
        <w:rPr>
          <w:lang w:val="uk-UA"/>
        </w:rPr>
        <w:t>ПТ «Ломбард «Форум» ( Михайленко і Компанія)», як фінансова установа, перейшла на складання фінансової звітності за МСФЗ, датою переходу на МСФЗ  стало 1 січня 2012 року.</w:t>
      </w:r>
    </w:p>
    <w:p w:rsidR="00F12868" w:rsidRPr="00FB6615" w:rsidRDefault="00F12868" w:rsidP="00F12868">
      <w:pPr>
        <w:tabs>
          <w:tab w:val="left" w:pos="705"/>
        </w:tabs>
        <w:ind w:firstLine="540"/>
        <w:jc w:val="both"/>
        <w:rPr>
          <w:lang w:val="uk-UA"/>
        </w:rPr>
      </w:pPr>
      <w:r w:rsidRPr="00FB6615">
        <w:rPr>
          <w:iCs/>
          <w:lang w:val="uk-UA"/>
        </w:rPr>
        <w:t>Перша фінансова звітності за МСФЗ була складена станом на 31.12.2013р. з урахуванням вимог стандартів та тлумачень, що використані при складанні першої фінансової звітності за МСФЗ станом на 31.12.2013 року.</w:t>
      </w:r>
      <w:r w:rsidRPr="00FB6615">
        <w:rPr>
          <w:lang w:val="uk-UA"/>
        </w:rPr>
        <w:t xml:space="preserve"> </w:t>
      </w:r>
    </w:p>
    <w:p w:rsidR="00F12868" w:rsidRDefault="00F12868" w:rsidP="00F12868">
      <w:pPr>
        <w:tabs>
          <w:tab w:val="left" w:pos="705"/>
        </w:tabs>
        <w:ind w:firstLine="540"/>
        <w:jc w:val="both"/>
        <w:rPr>
          <w:lang w:val="uk-UA"/>
        </w:rPr>
      </w:pPr>
      <w:r w:rsidRPr="00FB6615">
        <w:rPr>
          <w:iCs/>
          <w:lang w:val="uk-UA"/>
        </w:rPr>
        <w:t>Повний па</w:t>
      </w:r>
      <w:r>
        <w:rPr>
          <w:iCs/>
          <w:lang w:val="uk-UA"/>
        </w:rPr>
        <w:t>кет фінансової звітності за 2019</w:t>
      </w:r>
      <w:r w:rsidRPr="00FB6615">
        <w:rPr>
          <w:iCs/>
          <w:lang w:val="uk-UA"/>
        </w:rPr>
        <w:t xml:space="preserve"> рік </w:t>
      </w:r>
      <w:r w:rsidRPr="00FB6615">
        <w:rPr>
          <w:lang w:val="uk-UA"/>
        </w:rPr>
        <w:t>є фінансовою звітністю, складеною відповідно до М</w:t>
      </w:r>
      <w:r>
        <w:rPr>
          <w:lang w:val="uk-UA"/>
        </w:rPr>
        <w:t>СФЗ, діючих станом на 31.12.2019</w:t>
      </w:r>
      <w:r w:rsidRPr="00FB6615">
        <w:rPr>
          <w:lang w:val="uk-UA"/>
        </w:rPr>
        <w:t xml:space="preserve">р. </w:t>
      </w:r>
    </w:p>
    <w:p w:rsidR="00F12868" w:rsidRDefault="00F12868" w:rsidP="00F12868">
      <w:pPr>
        <w:tabs>
          <w:tab w:val="left" w:pos="705"/>
        </w:tabs>
        <w:ind w:firstLine="540"/>
        <w:jc w:val="both"/>
        <w:rPr>
          <w:lang w:val="uk-UA"/>
        </w:rPr>
      </w:pPr>
      <w:r w:rsidRPr="00FB6615">
        <w:rPr>
          <w:lang w:val="uk-UA"/>
        </w:rPr>
        <w:t>Потреби в перегл</w:t>
      </w:r>
      <w:r>
        <w:rPr>
          <w:lang w:val="uk-UA"/>
        </w:rPr>
        <w:t>яді фінансової звітності за 2018</w:t>
      </w:r>
      <w:r w:rsidRPr="00FB6615">
        <w:rPr>
          <w:lang w:val="uk-UA"/>
        </w:rPr>
        <w:t xml:space="preserve"> рік не виникло.</w:t>
      </w:r>
    </w:p>
    <w:p w:rsidR="00F12868" w:rsidRDefault="00F12868" w:rsidP="00F12868">
      <w:pPr>
        <w:tabs>
          <w:tab w:val="left" w:pos="705"/>
        </w:tabs>
        <w:ind w:firstLine="540"/>
        <w:jc w:val="both"/>
        <w:rPr>
          <w:lang w:val="uk-UA"/>
        </w:rPr>
      </w:pPr>
      <w:r>
        <w:rPr>
          <w:lang w:val="uk-UA"/>
        </w:rPr>
        <w:t xml:space="preserve">Ломбард має власний веб-сайт </w:t>
      </w:r>
      <w:r>
        <w:rPr>
          <w:lang w:val="en-US"/>
        </w:rPr>
        <w:t>lombardforum</w:t>
      </w:r>
      <w:r w:rsidRPr="00507A54">
        <w:rPr>
          <w:lang w:val="uk-UA"/>
        </w:rPr>
        <w:t>.</w:t>
      </w:r>
      <w:r>
        <w:rPr>
          <w:lang w:val="en-US"/>
        </w:rPr>
        <w:t>com</w:t>
      </w:r>
      <w:r w:rsidRPr="00507A54">
        <w:rPr>
          <w:lang w:val="uk-UA"/>
        </w:rPr>
        <w:t>.</w:t>
      </w:r>
      <w:r>
        <w:rPr>
          <w:lang w:val="en-US"/>
        </w:rPr>
        <w:t>ua</w:t>
      </w:r>
      <w:r>
        <w:rPr>
          <w:lang w:val="uk-UA"/>
        </w:rPr>
        <w:t>,</w:t>
      </w:r>
      <w:r w:rsidRPr="00507A54">
        <w:rPr>
          <w:lang w:val="uk-UA"/>
        </w:rPr>
        <w:t xml:space="preserve"> </w:t>
      </w:r>
      <w:r>
        <w:rPr>
          <w:lang w:val="uk-UA"/>
        </w:rPr>
        <w:t>на якому розміщена загальна інформація по всім відділенням та фінансова звітність за попередні роки.</w:t>
      </w:r>
    </w:p>
    <w:p w:rsidR="00F12868" w:rsidRPr="00F12868" w:rsidRDefault="00F12868" w:rsidP="00F12868">
      <w:pPr>
        <w:tabs>
          <w:tab w:val="left" w:pos="705"/>
        </w:tabs>
        <w:ind w:firstLine="540"/>
        <w:jc w:val="both"/>
        <w:rPr>
          <w:lang w:val="uk-UA"/>
        </w:rPr>
      </w:pPr>
      <w:r>
        <w:rPr>
          <w:lang w:val="uk-UA"/>
        </w:rPr>
        <w:t>За період 2021 року заходи впливу НКФП не застосовувалися.</w:t>
      </w:r>
    </w:p>
    <w:p w:rsidR="002E4AFB" w:rsidRPr="00DD57A1" w:rsidRDefault="002E4AFB" w:rsidP="00EA7DC6">
      <w:pPr>
        <w:ind w:firstLine="567"/>
        <w:jc w:val="both"/>
        <w:rPr>
          <w:lang w:val="uk-UA"/>
        </w:rPr>
      </w:pPr>
      <w:r w:rsidRPr="00DD57A1">
        <w:rPr>
          <w:lang w:val="uk-UA"/>
        </w:rPr>
        <w:t>Національною валютою України є  гривня, що є функціональною валютою, в якій подано показники фінансової звітності. Вся інформація подана у тисячах гривень, з округленням до тисяч, якщо не зазначено інше. Гривня не є вільноконвертованою валютою за межами України.</w:t>
      </w:r>
    </w:p>
    <w:p w:rsidR="002E4AFB" w:rsidRDefault="002E4AFB" w:rsidP="00EA7DC6">
      <w:pPr>
        <w:ind w:firstLine="567"/>
        <w:jc w:val="both"/>
        <w:rPr>
          <w:lang w:val="uk-UA"/>
        </w:rPr>
      </w:pPr>
      <w:r w:rsidRPr="00DD57A1">
        <w:rPr>
          <w:lang w:val="uk-UA"/>
        </w:rPr>
        <w:t>Звітність підготовлена на основі припущення про безперервність діяльності.</w:t>
      </w:r>
    </w:p>
    <w:p w:rsidR="00F12868" w:rsidRDefault="00F12868" w:rsidP="00EA7DC6">
      <w:pPr>
        <w:ind w:firstLine="567"/>
        <w:jc w:val="both"/>
        <w:rPr>
          <w:lang w:val="uk-UA"/>
        </w:rPr>
      </w:pPr>
    </w:p>
    <w:p w:rsidR="0028425A" w:rsidRDefault="00B0648B" w:rsidP="00617015">
      <w:pPr>
        <w:numPr>
          <w:ilvl w:val="0"/>
          <w:numId w:val="14"/>
        </w:numPr>
        <w:autoSpaceDE w:val="0"/>
        <w:autoSpaceDN w:val="0"/>
        <w:adjustRightInd w:val="0"/>
        <w:jc w:val="both"/>
        <w:rPr>
          <w:b/>
          <w:bCs/>
          <w:lang w:val="uk-UA"/>
        </w:rPr>
      </w:pPr>
      <w:r>
        <w:rPr>
          <w:b/>
          <w:bCs/>
          <w:lang w:val="uk-UA"/>
        </w:rPr>
        <w:t>Загальна основа формування фінансової звітності</w:t>
      </w:r>
    </w:p>
    <w:p w:rsidR="006F7E77" w:rsidRDefault="006F7E77" w:rsidP="006F7E77">
      <w:pPr>
        <w:autoSpaceDE w:val="0"/>
        <w:autoSpaceDN w:val="0"/>
        <w:adjustRightInd w:val="0"/>
        <w:jc w:val="both"/>
        <w:rPr>
          <w:b/>
          <w:bCs/>
          <w:lang w:val="uk-UA"/>
        </w:rPr>
      </w:pPr>
    </w:p>
    <w:p w:rsidR="006F7E77" w:rsidRPr="006F7E77" w:rsidRDefault="006F7E77" w:rsidP="006F7E77">
      <w:pPr>
        <w:autoSpaceDE w:val="0"/>
        <w:autoSpaceDN w:val="0"/>
        <w:adjustRightInd w:val="0"/>
        <w:jc w:val="both"/>
        <w:rPr>
          <w:b/>
          <w:bCs/>
          <w:lang w:val="uk-UA"/>
        </w:rPr>
      </w:pPr>
      <w:r>
        <w:rPr>
          <w:b/>
          <w:bCs/>
          <w:lang w:val="uk-UA"/>
        </w:rPr>
        <w:t xml:space="preserve">        </w:t>
      </w:r>
      <w:r w:rsidR="00751907">
        <w:rPr>
          <w:b/>
          <w:bCs/>
          <w:lang w:val="uk-UA"/>
        </w:rPr>
        <w:t xml:space="preserve"> </w:t>
      </w:r>
      <w:r w:rsidRPr="006F7E77">
        <w:rPr>
          <w:b/>
          <w:bCs/>
          <w:lang w:val="uk-UA"/>
        </w:rPr>
        <w:t xml:space="preserve">2.1. </w:t>
      </w:r>
      <w:r w:rsidR="00B0648B">
        <w:rPr>
          <w:b/>
          <w:bCs/>
          <w:lang w:val="uk-UA"/>
        </w:rPr>
        <w:t>Достовірне подання та відповідність МСФЗ</w:t>
      </w:r>
    </w:p>
    <w:p w:rsidR="00CF2A19" w:rsidRDefault="006F7E77" w:rsidP="00EA7DC6">
      <w:pPr>
        <w:autoSpaceDE w:val="0"/>
        <w:autoSpaceDN w:val="0"/>
        <w:adjustRightInd w:val="0"/>
        <w:ind w:firstLine="567"/>
        <w:jc w:val="both"/>
        <w:rPr>
          <w:bCs/>
          <w:lang w:val="uk-UA"/>
        </w:rPr>
      </w:pPr>
      <w:r w:rsidRPr="006F7E77">
        <w:rPr>
          <w:bCs/>
          <w:lang w:val="uk-UA"/>
        </w:rPr>
        <w:t xml:space="preserve">Законодавчою основою застосування Міжнародних Стандартів Фінансової Звітності (в подальшому – МСФЗ) є Закон України «Про бухгалтерський облік та фінансову звітність в Україні», в який  було внесено зміни відповідні зміни. </w:t>
      </w:r>
    </w:p>
    <w:p w:rsidR="006F7E77" w:rsidRPr="006F7E77" w:rsidRDefault="006F7E77" w:rsidP="00EA7DC6">
      <w:pPr>
        <w:autoSpaceDE w:val="0"/>
        <w:autoSpaceDN w:val="0"/>
        <w:adjustRightInd w:val="0"/>
        <w:ind w:firstLine="567"/>
        <w:jc w:val="both"/>
        <w:rPr>
          <w:bCs/>
          <w:lang w:val="uk-UA"/>
        </w:rPr>
      </w:pPr>
      <w:r w:rsidRPr="006F7E77">
        <w:rPr>
          <w:bCs/>
          <w:lang w:val="uk-UA"/>
        </w:rPr>
        <w:t>Незалежно від застосовуваного пакету стандартів товариство зобов’язане виконувати норми Закону України «Про бухгалтерський облік та фінансову звітність в Україні» і Порядку подання фінансової звітності, а також нормативно-правові акти щодо документального забезпечення записів у бухгалтерському обліку, проведення інвентаризації тощо.</w:t>
      </w:r>
    </w:p>
    <w:p w:rsidR="0010115C" w:rsidRPr="00B134C3" w:rsidRDefault="0010115C" w:rsidP="00EA7DC6">
      <w:pPr>
        <w:shd w:val="clear" w:color="auto" w:fill="FFFFFF"/>
        <w:autoSpaceDE w:val="0"/>
        <w:autoSpaceDN w:val="0"/>
        <w:adjustRightInd w:val="0"/>
        <w:spacing w:after="60"/>
        <w:ind w:firstLine="567"/>
        <w:jc w:val="both"/>
        <w:rPr>
          <w:lang w:val="uk-UA"/>
        </w:rPr>
      </w:pPr>
      <w:r w:rsidRPr="00B134C3">
        <w:rPr>
          <w:lang w:val="uk-UA"/>
        </w:rPr>
        <w:t>Концептуальною основою фінансової звітності Товариства за</w:t>
      </w:r>
      <w:r>
        <w:rPr>
          <w:lang w:val="uk-UA"/>
        </w:rPr>
        <w:t xml:space="preserve"> період з 01 січня по 31 грудня 20</w:t>
      </w:r>
      <w:r w:rsidR="00E8027D">
        <w:rPr>
          <w:lang w:val="uk-UA"/>
        </w:rPr>
        <w:t>2</w:t>
      </w:r>
      <w:r w:rsidR="003C4F45">
        <w:rPr>
          <w:lang w:val="uk-UA"/>
        </w:rPr>
        <w:t>1</w:t>
      </w:r>
      <w:r>
        <w:rPr>
          <w:lang w:val="uk-UA"/>
        </w:rPr>
        <w:t xml:space="preserve"> </w:t>
      </w:r>
      <w:r w:rsidRPr="00B134C3">
        <w:rPr>
          <w:lang w:val="uk-UA"/>
        </w:rPr>
        <w:t>року, є Міжнародні стандарти фінансової звітності (МСФЗ), включаючи Міжнародні стандарти бухгалтерського обліку (МСБО) та Тлумачення (КТМФЗ, ПКТ), видані Радою з Міжнародних стандартів бухгалтерського обліку (РМСБО), в редакції</w:t>
      </w:r>
      <w:r>
        <w:rPr>
          <w:lang w:val="uk-UA"/>
        </w:rPr>
        <w:t xml:space="preserve"> чинній на 01 січня</w:t>
      </w:r>
      <w:r w:rsidRPr="00B134C3">
        <w:rPr>
          <w:lang w:val="uk-UA"/>
        </w:rPr>
        <w:t xml:space="preserve"> 20</w:t>
      </w:r>
      <w:r w:rsidR="00E8027D">
        <w:rPr>
          <w:lang w:val="uk-UA"/>
        </w:rPr>
        <w:t>20</w:t>
      </w:r>
      <w:r w:rsidRPr="00B134C3">
        <w:rPr>
          <w:lang w:val="uk-UA"/>
        </w:rPr>
        <w:t xml:space="preserve"> року, що офіційно оприлюдненні на веб-сайті Міністерства фінансів України.</w:t>
      </w:r>
    </w:p>
    <w:p w:rsidR="0028425A" w:rsidRDefault="0028425A" w:rsidP="00EA7DC6">
      <w:pPr>
        <w:autoSpaceDE w:val="0"/>
        <w:autoSpaceDN w:val="0"/>
        <w:adjustRightInd w:val="0"/>
        <w:ind w:firstLine="567"/>
        <w:jc w:val="both"/>
        <w:rPr>
          <w:bCs/>
          <w:lang w:val="uk-UA"/>
        </w:rPr>
      </w:pPr>
      <w:r w:rsidRPr="0028425A">
        <w:rPr>
          <w:bCs/>
          <w:lang w:val="uk-UA"/>
        </w:rPr>
        <w:t xml:space="preserve">Протягом звітного періоду та під час складання цієї фінансової звітності </w:t>
      </w:r>
      <w:r w:rsidR="0051340F">
        <w:rPr>
          <w:bCs/>
          <w:lang w:val="uk-UA"/>
        </w:rPr>
        <w:t>Компанія</w:t>
      </w:r>
      <w:r w:rsidRPr="0028425A">
        <w:rPr>
          <w:bCs/>
          <w:lang w:val="uk-UA"/>
        </w:rPr>
        <w:t xml:space="preserve"> використовува</w:t>
      </w:r>
      <w:r w:rsidR="0051340F">
        <w:rPr>
          <w:bCs/>
          <w:lang w:val="uk-UA"/>
        </w:rPr>
        <w:t>ла</w:t>
      </w:r>
      <w:r w:rsidRPr="0028425A">
        <w:rPr>
          <w:bCs/>
          <w:lang w:val="uk-UA"/>
        </w:rPr>
        <w:t xml:space="preserve"> нові та переглянуті стандарти і тлумачення, що були випущені Радою з Міжнародних стандартів фінансової звітності і є обов’язковими для </w:t>
      </w:r>
      <w:r w:rsidR="005E025D">
        <w:rPr>
          <w:bCs/>
          <w:lang w:val="uk-UA"/>
        </w:rPr>
        <w:t>застосування у звітному періоді,дотримання яких забезпечує достовірне подання інформації в фінансовій звітності, а саме, доречної, достовірної, зіставної та зрозумілої інформації.</w:t>
      </w:r>
    </w:p>
    <w:p w:rsidR="005E025D" w:rsidRPr="0028425A" w:rsidRDefault="005E025D" w:rsidP="00EA7DC6">
      <w:pPr>
        <w:autoSpaceDE w:val="0"/>
        <w:autoSpaceDN w:val="0"/>
        <w:adjustRightInd w:val="0"/>
        <w:ind w:firstLine="567"/>
        <w:jc w:val="both"/>
        <w:rPr>
          <w:bCs/>
          <w:lang w:val="uk-UA"/>
        </w:rPr>
      </w:pPr>
      <w:r>
        <w:rPr>
          <w:bCs/>
          <w:lang w:val="uk-UA"/>
        </w:rPr>
        <w:t>При формуванні фінансової звітності Товариство керувалося також вимогами національних законодавчих та нормативних актів щодо організації і ведення бухгалтерського обліку та складання фінансової звітності в Україні, які не суперечать вимогам МСФЗ.</w:t>
      </w:r>
    </w:p>
    <w:p w:rsidR="00CF1518" w:rsidRPr="00DD57A1" w:rsidRDefault="002E4AFB" w:rsidP="00EA7DC6">
      <w:pPr>
        <w:ind w:firstLine="567"/>
        <w:jc w:val="both"/>
        <w:rPr>
          <w:lang w:val="uk-UA"/>
        </w:rPr>
      </w:pPr>
      <w:r w:rsidRPr="00DD57A1">
        <w:rPr>
          <w:lang w:val="uk-UA"/>
        </w:rPr>
        <w:t xml:space="preserve">ПТ </w:t>
      </w:r>
      <w:r w:rsidR="00F12868">
        <w:rPr>
          <w:b/>
          <w:bCs/>
          <w:i/>
          <w:lang w:val="uk-UA"/>
        </w:rPr>
        <w:t>« ЛОМБАРД»ФОРУМ» (МИХАЙЛЕНКО І К)</w:t>
      </w:r>
      <w:r w:rsidRPr="00DD57A1">
        <w:rPr>
          <w:b/>
          <w:bCs/>
          <w:i/>
          <w:lang w:val="uk-UA"/>
        </w:rPr>
        <w:t>"</w:t>
      </w:r>
      <w:r w:rsidR="00CF1518" w:rsidRPr="00DD57A1">
        <w:rPr>
          <w:lang w:val="uk-UA"/>
        </w:rPr>
        <w:t xml:space="preserve"> ве</w:t>
      </w:r>
      <w:r w:rsidR="005770D0">
        <w:rPr>
          <w:lang w:val="uk-UA"/>
        </w:rPr>
        <w:t>ло</w:t>
      </w:r>
      <w:r w:rsidR="00CF1518" w:rsidRPr="00DD57A1">
        <w:rPr>
          <w:lang w:val="uk-UA"/>
        </w:rPr>
        <w:t xml:space="preserve"> в 20</w:t>
      </w:r>
      <w:r w:rsidR="00F828BE">
        <w:rPr>
          <w:lang w:val="uk-UA"/>
        </w:rPr>
        <w:t>2</w:t>
      </w:r>
      <w:r w:rsidR="00BB5110" w:rsidRPr="00BB5110">
        <w:rPr>
          <w:lang w:val="uk-UA"/>
        </w:rPr>
        <w:t>1</w:t>
      </w:r>
      <w:r w:rsidR="00CF1518" w:rsidRPr="00DD57A1">
        <w:rPr>
          <w:lang w:val="uk-UA"/>
        </w:rPr>
        <w:t xml:space="preserve"> році бухгалтерський облік відповідно до МСБО </w:t>
      </w:r>
      <w:r w:rsidR="000F5EF5">
        <w:rPr>
          <w:lang w:val="uk-UA"/>
        </w:rPr>
        <w:t>і</w:t>
      </w:r>
      <w:r w:rsidR="00CF1518" w:rsidRPr="00DD57A1">
        <w:rPr>
          <w:lang w:val="uk-UA"/>
        </w:rPr>
        <w:t xml:space="preserve"> на </w:t>
      </w:r>
      <w:r w:rsidR="004C177B">
        <w:rPr>
          <w:lang w:val="uk-UA"/>
        </w:rPr>
        <w:t xml:space="preserve">їх </w:t>
      </w:r>
      <w:r w:rsidR="00CF1518" w:rsidRPr="00DD57A1">
        <w:rPr>
          <w:lang w:val="uk-UA"/>
        </w:rPr>
        <w:t xml:space="preserve">основі </w:t>
      </w:r>
      <w:r w:rsidR="004C177B">
        <w:rPr>
          <w:lang w:val="uk-UA"/>
        </w:rPr>
        <w:t>було</w:t>
      </w:r>
      <w:r w:rsidR="00CF1518" w:rsidRPr="00DD57A1">
        <w:rPr>
          <w:lang w:val="uk-UA"/>
        </w:rPr>
        <w:t xml:space="preserve"> скла</w:t>
      </w:r>
      <w:r w:rsidR="004C177B">
        <w:rPr>
          <w:lang w:val="uk-UA"/>
        </w:rPr>
        <w:t>дено</w:t>
      </w:r>
      <w:r w:rsidR="00CF1518" w:rsidRPr="00DD57A1">
        <w:rPr>
          <w:lang w:val="uk-UA"/>
        </w:rPr>
        <w:t xml:space="preserve"> фінансову звітність за МСФЗ. </w:t>
      </w:r>
    </w:p>
    <w:p w:rsidR="00CF1518" w:rsidRPr="00DD57A1" w:rsidRDefault="00CF1518" w:rsidP="00EA7DC6">
      <w:pPr>
        <w:shd w:val="clear" w:color="auto" w:fill="FFFFFF"/>
        <w:ind w:firstLine="567"/>
        <w:jc w:val="both"/>
        <w:rPr>
          <w:bCs/>
          <w:spacing w:val="-1"/>
          <w:lang w:val="uk-UA"/>
        </w:rPr>
      </w:pPr>
      <w:r w:rsidRPr="00DD57A1">
        <w:rPr>
          <w:bCs/>
          <w:spacing w:val="-1"/>
          <w:lang w:val="uk-UA"/>
        </w:rPr>
        <w:t xml:space="preserve">Фінансова звітність за МСФЗ, що складена за </w:t>
      </w:r>
      <w:r w:rsidR="0051340F">
        <w:rPr>
          <w:bCs/>
          <w:spacing w:val="-1"/>
          <w:lang w:val="uk-UA"/>
        </w:rPr>
        <w:t>20</w:t>
      </w:r>
      <w:r w:rsidR="004A4961" w:rsidRPr="004A4961">
        <w:rPr>
          <w:bCs/>
          <w:spacing w:val="-1"/>
        </w:rPr>
        <w:t>2</w:t>
      </w:r>
      <w:r w:rsidR="00BB5110" w:rsidRPr="00BB5110">
        <w:rPr>
          <w:bCs/>
          <w:spacing w:val="-1"/>
        </w:rPr>
        <w:t>1</w:t>
      </w:r>
      <w:r w:rsidR="0051340F">
        <w:rPr>
          <w:bCs/>
          <w:spacing w:val="-1"/>
          <w:lang w:val="uk-UA"/>
        </w:rPr>
        <w:t xml:space="preserve"> р</w:t>
      </w:r>
      <w:r w:rsidR="005770D0">
        <w:rPr>
          <w:bCs/>
          <w:spacing w:val="-1"/>
          <w:lang w:val="uk-UA"/>
        </w:rPr>
        <w:t>ік</w:t>
      </w:r>
      <w:r w:rsidRPr="00DD57A1">
        <w:rPr>
          <w:bCs/>
          <w:spacing w:val="-1"/>
          <w:lang w:val="uk-UA"/>
        </w:rPr>
        <w:t>, містить інформацію:</w:t>
      </w:r>
    </w:p>
    <w:p w:rsidR="00CF1518" w:rsidRPr="00DD57A1" w:rsidRDefault="00CF1518" w:rsidP="00EA7DC6">
      <w:pPr>
        <w:shd w:val="clear" w:color="auto" w:fill="FFFFFF"/>
        <w:ind w:firstLine="567"/>
        <w:jc w:val="both"/>
        <w:rPr>
          <w:bCs/>
          <w:spacing w:val="-1"/>
          <w:lang w:val="uk-UA"/>
        </w:rPr>
      </w:pPr>
      <w:r w:rsidRPr="00DD57A1">
        <w:rPr>
          <w:bCs/>
          <w:spacing w:val="-1"/>
          <w:lang w:val="uk-UA"/>
        </w:rPr>
        <w:t xml:space="preserve"> - в Звіті про фінансовий стан станом на: 3</w:t>
      </w:r>
      <w:r w:rsidR="005770D0">
        <w:rPr>
          <w:bCs/>
          <w:spacing w:val="-1"/>
          <w:lang w:val="uk-UA"/>
        </w:rPr>
        <w:t>1</w:t>
      </w:r>
      <w:r w:rsidRPr="00DD57A1">
        <w:rPr>
          <w:bCs/>
          <w:spacing w:val="-1"/>
          <w:lang w:val="uk-UA"/>
        </w:rPr>
        <w:t>.</w:t>
      </w:r>
      <w:r w:rsidR="005770D0">
        <w:rPr>
          <w:bCs/>
          <w:spacing w:val="-1"/>
          <w:lang w:val="uk-UA"/>
        </w:rPr>
        <w:t>12</w:t>
      </w:r>
      <w:r w:rsidRPr="00DD57A1">
        <w:rPr>
          <w:bCs/>
          <w:spacing w:val="-1"/>
          <w:lang w:val="uk-UA"/>
        </w:rPr>
        <w:t>.20</w:t>
      </w:r>
      <w:r w:rsidR="004A4961" w:rsidRPr="004A4961">
        <w:rPr>
          <w:bCs/>
          <w:spacing w:val="-1"/>
        </w:rPr>
        <w:t>2</w:t>
      </w:r>
      <w:r w:rsidR="00BB5110" w:rsidRPr="00BB5110">
        <w:rPr>
          <w:bCs/>
          <w:spacing w:val="-1"/>
        </w:rPr>
        <w:t>1</w:t>
      </w:r>
      <w:r w:rsidR="005770D0">
        <w:rPr>
          <w:bCs/>
          <w:spacing w:val="-1"/>
          <w:lang w:val="uk-UA"/>
        </w:rPr>
        <w:t xml:space="preserve"> </w:t>
      </w:r>
      <w:r w:rsidRPr="00DD57A1">
        <w:rPr>
          <w:bCs/>
          <w:spacing w:val="-1"/>
          <w:lang w:val="uk-UA"/>
        </w:rPr>
        <w:t>року;</w:t>
      </w:r>
    </w:p>
    <w:p w:rsidR="00CF1518" w:rsidRPr="00DD57A1" w:rsidRDefault="00F92A61" w:rsidP="00EA7DC6">
      <w:pPr>
        <w:shd w:val="clear" w:color="auto" w:fill="FFFFFF"/>
        <w:ind w:firstLine="567"/>
        <w:jc w:val="both"/>
        <w:rPr>
          <w:bCs/>
          <w:spacing w:val="-1"/>
          <w:lang w:val="uk-UA"/>
        </w:rPr>
      </w:pPr>
      <w:r>
        <w:rPr>
          <w:bCs/>
          <w:spacing w:val="-1"/>
          <w:lang w:val="uk-UA"/>
        </w:rPr>
        <w:t xml:space="preserve"> - </w:t>
      </w:r>
      <w:r w:rsidR="00CF1518" w:rsidRPr="00DD57A1">
        <w:rPr>
          <w:bCs/>
          <w:spacing w:val="-1"/>
          <w:lang w:val="uk-UA"/>
        </w:rPr>
        <w:t xml:space="preserve">в Звіті про </w:t>
      </w:r>
      <w:r w:rsidR="00686E0F">
        <w:rPr>
          <w:bCs/>
          <w:spacing w:val="-1"/>
          <w:lang w:val="uk-UA"/>
        </w:rPr>
        <w:t>сукупний дохід</w:t>
      </w:r>
      <w:r w:rsidR="00CF1518" w:rsidRPr="00DD57A1">
        <w:rPr>
          <w:bCs/>
          <w:spacing w:val="-1"/>
          <w:lang w:val="uk-UA"/>
        </w:rPr>
        <w:t xml:space="preserve"> за: 20</w:t>
      </w:r>
      <w:r w:rsidR="004A4961" w:rsidRPr="004A4961">
        <w:rPr>
          <w:bCs/>
          <w:spacing w:val="-1"/>
        </w:rPr>
        <w:t>2</w:t>
      </w:r>
      <w:r w:rsidR="00BB5110" w:rsidRPr="00BB5110">
        <w:rPr>
          <w:bCs/>
          <w:spacing w:val="-1"/>
        </w:rPr>
        <w:t>1</w:t>
      </w:r>
      <w:r w:rsidR="00CF1518" w:rsidRPr="00DD57A1">
        <w:rPr>
          <w:bCs/>
          <w:spacing w:val="-1"/>
          <w:lang w:val="uk-UA"/>
        </w:rPr>
        <w:t xml:space="preserve"> рік;</w:t>
      </w:r>
    </w:p>
    <w:p w:rsidR="00CF1518" w:rsidRPr="00DD57A1" w:rsidRDefault="00CF1518" w:rsidP="00EA7DC6">
      <w:pPr>
        <w:shd w:val="clear" w:color="auto" w:fill="FFFFFF"/>
        <w:ind w:firstLine="567"/>
        <w:jc w:val="both"/>
        <w:rPr>
          <w:bCs/>
          <w:spacing w:val="-1"/>
          <w:lang w:val="uk-UA"/>
        </w:rPr>
      </w:pPr>
      <w:r w:rsidRPr="00DD57A1">
        <w:rPr>
          <w:bCs/>
          <w:spacing w:val="-1"/>
          <w:lang w:val="uk-UA"/>
        </w:rPr>
        <w:t xml:space="preserve"> - в Звіті про рух грошових коштів за: </w:t>
      </w:r>
      <w:r w:rsidR="00713FFC" w:rsidRPr="00713FFC">
        <w:rPr>
          <w:bCs/>
          <w:spacing w:val="-1"/>
          <w:lang w:val="uk-UA"/>
        </w:rPr>
        <w:t>20</w:t>
      </w:r>
      <w:r w:rsidR="004A4961" w:rsidRPr="004A4961">
        <w:rPr>
          <w:bCs/>
          <w:spacing w:val="-1"/>
        </w:rPr>
        <w:t>2</w:t>
      </w:r>
      <w:r w:rsidR="00BB5110" w:rsidRPr="00BB5110">
        <w:rPr>
          <w:bCs/>
          <w:spacing w:val="-1"/>
        </w:rPr>
        <w:t>1</w:t>
      </w:r>
      <w:r w:rsidR="00713FFC" w:rsidRPr="00713FFC">
        <w:rPr>
          <w:bCs/>
          <w:spacing w:val="-1"/>
          <w:lang w:val="uk-UA"/>
        </w:rPr>
        <w:t xml:space="preserve"> рік</w:t>
      </w:r>
      <w:r w:rsidRPr="00DD57A1">
        <w:rPr>
          <w:bCs/>
          <w:spacing w:val="-1"/>
          <w:lang w:val="uk-UA"/>
        </w:rPr>
        <w:t>;</w:t>
      </w:r>
    </w:p>
    <w:p w:rsidR="00CF1518" w:rsidRDefault="00CF1518" w:rsidP="00EA7DC6">
      <w:pPr>
        <w:shd w:val="clear" w:color="auto" w:fill="FFFFFF"/>
        <w:ind w:firstLine="567"/>
        <w:jc w:val="both"/>
        <w:rPr>
          <w:bCs/>
          <w:spacing w:val="-1"/>
          <w:lang w:val="uk-UA"/>
        </w:rPr>
      </w:pPr>
      <w:r w:rsidRPr="00DD57A1">
        <w:rPr>
          <w:bCs/>
          <w:spacing w:val="-1"/>
          <w:lang w:val="uk-UA"/>
        </w:rPr>
        <w:t xml:space="preserve"> </w:t>
      </w:r>
      <w:r w:rsidRPr="007C0826">
        <w:rPr>
          <w:bCs/>
          <w:spacing w:val="-1"/>
          <w:lang w:val="uk-UA"/>
        </w:rPr>
        <w:t xml:space="preserve">- в Звіті про зміни у власному капіталі за: </w:t>
      </w:r>
      <w:r w:rsidR="00713FFC" w:rsidRPr="00713FFC">
        <w:rPr>
          <w:bCs/>
          <w:spacing w:val="-1"/>
          <w:lang w:val="uk-UA"/>
        </w:rPr>
        <w:t>20</w:t>
      </w:r>
      <w:r w:rsidR="004A4961" w:rsidRPr="004A4961">
        <w:rPr>
          <w:bCs/>
          <w:spacing w:val="-1"/>
        </w:rPr>
        <w:t>2</w:t>
      </w:r>
      <w:r w:rsidR="00BB5110" w:rsidRPr="00BB5110">
        <w:rPr>
          <w:bCs/>
          <w:spacing w:val="-1"/>
        </w:rPr>
        <w:t>1</w:t>
      </w:r>
      <w:r w:rsidR="00713FFC" w:rsidRPr="00713FFC">
        <w:rPr>
          <w:bCs/>
          <w:spacing w:val="-1"/>
          <w:lang w:val="uk-UA"/>
        </w:rPr>
        <w:t xml:space="preserve"> рік</w:t>
      </w:r>
      <w:r w:rsidRPr="007C0826">
        <w:rPr>
          <w:bCs/>
          <w:spacing w:val="-1"/>
          <w:lang w:val="uk-UA"/>
        </w:rPr>
        <w:t>;</w:t>
      </w:r>
    </w:p>
    <w:p w:rsidR="00CF1518" w:rsidRPr="00DD57A1" w:rsidRDefault="00F25FCF" w:rsidP="00EA7DC6">
      <w:pPr>
        <w:shd w:val="clear" w:color="auto" w:fill="FFFFFF"/>
        <w:ind w:firstLine="567"/>
        <w:jc w:val="both"/>
        <w:rPr>
          <w:bCs/>
          <w:spacing w:val="-1"/>
          <w:lang w:val="uk-UA"/>
        </w:rPr>
      </w:pPr>
      <w:r w:rsidRPr="00F25FCF">
        <w:rPr>
          <w:bCs/>
          <w:spacing w:val="-1"/>
        </w:rPr>
        <w:t xml:space="preserve"> </w:t>
      </w:r>
      <w:r>
        <w:rPr>
          <w:bCs/>
          <w:spacing w:val="-1"/>
          <w:lang w:val="uk-UA"/>
        </w:rPr>
        <w:t xml:space="preserve">- в </w:t>
      </w:r>
      <w:r w:rsidR="00CF1518" w:rsidRPr="00DD57A1">
        <w:rPr>
          <w:bCs/>
          <w:spacing w:val="-1"/>
          <w:lang w:val="uk-UA"/>
        </w:rPr>
        <w:t xml:space="preserve">відповідних примітках, в тому числі порівняльну інформацію. </w:t>
      </w:r>
    </w:p>
    <w:p w:rsidR="00CF1518" w:rsidRPr="00DD57A1" w:rsidRDefault="00CF1518" w:rsidP="00EA7DC6">
      <w:pPr>
        <w:shd w:val="clear" w:color="auto" w:fill="FFFFFF"/>
        <w:ind w:firstLine="567"/>
        <w:jc w:val="both"/>
        <w:rPr>
          <w:bCs/>
          <w:lang w:val="uk-UA"/>
        </w:rPr>
      </w:pPr>
      <w:r w:rsidRPr="00DD57A1">
        <w:rPr>
          <w:bCs/>
          <w:lang w:val="uk-UA"/>
        </w:rPr>
        <w:t xml:space="preserve">Вони є повним пакетом звітності складеної відповідно до МСФЗ. </w:t>
      </w:r>
    </w:p>
    <w:p w:rsidR="00BE325F" w:rsidRDefault="00BE325F" w:rsidP="00BE325F">
      <w:pPr>
        <w:shd w:val="clear" w:color="auto" w:fill="FFFFFF"/>
        <w:spacing w:line="276" w:lineRule="auto"/>
        <w:ind w:firstLine="567"/>
        <w:rPr>
          <w:b/>
          <w:bCs/>
          <w:spacing w:val="-2"/>
          <w:lang w:val="uk-UA"/>
        </w:rPr>
      </w:pPr>
    </w:p>
    <w:p w:rsidR="00BE325F" w:rsidRPr="00273490" w:rsidRDefault="00BE325F" w:rsidP="00273490">
      <w:pPr>
        <w:pStyle w:val="ad"/>
        <w:numPr>
          <w:ilvl w:val="1"/>
          <w:numId w:val="14"/>
        </w:numPr>
        <w:shd w:val="clear" w:color="auto" w:fill="FFFFFF"/>
        <w:spacing w:line="276" w:lineRule="auto"/>
        <w:rPr>
          <w:b/>
          <w:bCs/>
          <w:spacing w:val="-2"/>
          <w:lang w:val="en-US"/>
        </w:rPr>
      </w:pPr>
      <w:bookmarkStart w:id="0" w:name="OLE_LINK37"/>
      <w:bookmarkStart w:id="1" w:name="OLE_LINK38"/>
      <w:bookmarkStart w:id="2" w:name="OLE_LINK39"/>
      <w:bookmarkStart w:id="3" w:name="OLE_LINK46"/>
      <w:r w:rsidRPr="00273490">
        <w:rPr>
          <w:b/>
          <w:bCs/>
          <w:spacing w:val="-2"/>
        </w:rPr>
        <w:t>Рішення про затвердження фінансової звітності</w:t>
      </w:r>
    </w:p>
    <w:p w:rsidR="00273490" w:rsidRPr="00273490" w:rsidRDefault="00273490" w:rsidP="00273490">
      <w:pPr>
        <w:shd w:val="clear" w:color="auto" w:fill="FFFFFF"/>
        <w:spacing w:line="276" w:lineRule="auto"/>
        <w:ind w:left="567"/>
        <w:rPr>
          <w:b/>
          <w:bCs/>
          <w:spacing w:val="-2"/>
          <w:lang w:val="en-US"/>
        </w:rPr>
      </w:pPr>
    </w:p>
    <w:p w:rsidR="00273490" w:rsidRPr="00273490" w:rsidRDefault="00273490" w:rsidP="00273490">
      <w:pPr>
        <w:shd w:val="clear" w:color="auto" w:fill="FFFFFF"/>
        <w:autoSpaceDE w:val="0"/>
        <w:autoSpaceDN w:val="0"/>
        <w:adjustRightInd w:val="0"/>
        <w:ind w:firstLine="397"/>
        <w:contextualSpacing/>
        <w:jc w:val="both"/>
        <w:rPr>
          <w:color w:val="000000" w:themeColor="text1"/>
          <w:lang w:val="uk-UA"/>
        </w:rPr>
      </w:pPr>
      <w:r w:rsidRPr="00273490">
        <w:rPr>
          <w:color w:val="000000" w:themeColor="text1"/>
          <w:lang w:val="uk-UA"/>
        </w:rPr>
        <w:t>Ця річна фінансова звітність Товариства була затверджена до випуску керівником Товариства 2</w:t>
      </w:r>
      <w:r w:rsidRPr="00273490">
        <w:rPr>
          <w:color w:val="000000" w:themeColor="text1"/>
        </w:rPr>
        <w:t>2</w:t>
      </w:r>
      <w:r w:rsidRPr="00273490">
        <w:rPr>
          <w:color w:val="000000" w:themeColor="text1"/>
          <w:lang w:val="uk-UA"/>
        </w:rPr>
        <w:t xml:space="preserve"> </w:t>
      </w:r>
      <w:r>
        <w:rPr>
          <w:color w:val="000000" w:themeColor="text1"/>
          <w:lang w:val="uk-UA"/>
        </w:rPr>
        <w:t>лютого</w:t>
      </w:r>
      <w:r w:rsidRPr="00273490">
        <w:rPr>
          <w:color w:val="000000" w:themeColor="text1"/>
        </w:rPr>
        <w:t xml:space="preserve"> </w:t>
      </w:r>
      <w:r w:rsidRPr="00273490">
        <w:rPr>
          <w:color w:val="000000" w:themeColor="text1"/>
          <w:lang w:val="uk-UA"/>
        </w:rPr>
        <w:t xml:space="preserve"> 2022 року. Але враховуючи поточну ситуацію в Україні, керівництвом компанії було прийнято рішення перезатвердити цю річну звітність, з урахуванням внесення до неї відповідних змін. Таким чином, річна фінансова звітність Товариства була перезатверджена до випуску керівником Товариства датою 25 квітня 2022 року. Ні учасники Товариства, ні інші особи не мають права вносити зміни до цієї фінансової звітності після її остаточного затвердження до випуску. </w:t>
      </w:r>
    </w:p>
    <w:p w:rsidR="00273490" w:rsidRPr="00273490" w:rsidRDefault="00273490" w:rsidP="00273490">
      <w:pPr>
        <w:shd w:val="clear" w:color="auto" w:fill="FFFFFF"/>
        <w:autoSpaceDE w:val="0"/>
        <w:autoSpaceDN w:val="0"/>
        <w:adjustRightInd w:val="0"/>
        <w:ind w:firstLine="340"/>
        <w:contextualSpacing/>
        <w:jc w:val="both"/>
        <w:rPr>
          <w:color w:val="000000" w:themeColor="text1"/>
          <w:lang w:val="uk-UA"/>
        </w:rPr>
      </w:pPr>
      <w:r w:rsidRPr="00273490">
        <w:rPr>
          <w:color w:val="000000" w:themeColor="text1"/>
          <w:lang w:val="uk-UA"/>
        </w:rPr>
        <w:t>Міністерство Фінансів України у </w:t>
      </w:r>
      <w:hyperlink r:id="rId8" w:history="1">
        <w:r w:rsidRPr="00273490">
          <w:rPr>
            <w:color w:val="000000" w:themeColor="text1"/>
            <w:lang w:val="uk-UA"/>
          </w:rPr>
          <w:t>своєму Інформаційному повідомленні від 11 березня 2022 р. «Щодо подання та оприлюднення фінансової звітності у період дії воєнного стану або стану війни»</w:t>
        </w:r>
      </w:hyperlink>
      <w:r w:rsidRPr="00273490">
        <w:rPr>
          <w:color w:val="000000" w:themeColor="text1"/>
          <w:lang w:val="uk-UA"/>
        </w:rPr>
        <w:t> звернуло увагу на обов’язковість та безперервність ведення бухгалтерського обліку суб’єктами господарювання:</w:t>
      </w:r>
    </w:p>
    <w:p w:rsidR="00273490" w:rsidRPr="00273490" w:rsidRDefault="00273490" w:rsidP="00273490">
      <w:pPr>
        <w:numPr>
          <w:ilvl w:val="0"/>
          <w:numId w:val="27"/>
        </w:numPr>
        <w:shd w:val="clear" w:color="auto" w:fill="FFFFFF"/>
        <w:autoSpaceDE w:val="0"/>
        <w:autoSpaceDN w:val="0"/>
        <w:adjustRightInd w:val="0"/>
        <w:ind w:hanging="294"/>
        <w:contextualSpacing/>
        <w:jc w:val="both"/>
        <w:rPr>
          <w:color w:val="000000" w:themeColor="text1"/>
          <w:lang w:val="uk-UA"/>
        </w:rPr>
      </w:pPr>
      <w:r w:rsidRPr="00273490">
        <w:rPr>
          <w:color w:val="000000" w:themeColor="text1"/>
          <w:lang w:val="uk-UA"/>
        </w:rPr>
        <w:t>Бухгалтерський облік є обов’язковим видом обліку, який ведеться підприємством;</w:t>
      </w:r>
    </w:p>
    <w:p w:rsidR="00273490" w:rsidRPr="00273490" w:rsidRDefault="00273490" w:rsidP="00273490">
      <w:pPr>
        <w:numPr>
          <w:ilvl w:val="0"/>
          <w:numId w:val="27"/>
        </w:numPr>
        <w:shd w:val="clear" w:color="auto" w:fill="FFFFFF"/>
        <w:autoSpaceDE w:val="0"/>
        <w:autoSpaceDN w:val="0"/>
        <w:adjustRightInd w:val="0"/>
        <w:ind w:hanging="294"/>
        <w:contextualSpacing/>
        <w:jc w:val="both"/>
        <w:rPr>
          <w:color w:val="000000" w:themeColor="text1"/>
          <w:lang w:val="uk-UA"/>
        </w:rPr>
      </w:pPr>
      <w:r w:rsidRPr="00273490">
        <w:rPr>
          <w:color w:val="000000" w:themeColor="text1"/>
          <w:lang w:val="uk-UA"/>
        </w:rPr>
        <w:t>Підприємства зобов’язані складати фінансову звітність на підставі даних бухгалтерського обліку;</w:t>
      </w:r>
    </w:p>
    <w:p w:rsidR="00273490" w:rsidRPr="00273490" w:rsidRDefault="00273490" w:rsidP="00273490">
      <w:pPr>
        <w:numPr>
          <w:ilvl w:val="0"/>
          <w:numId w:val="27"/>
        </w:numPr>
        <w:shd w:val="clear" w:color="auto" w:fill="FFFFFF"/>
        <w:autoSpaceDE w:val="0"/>
        <w:autoSpaceDN w:val="0"/>
        <w:adjustRightInd w:val="0"/>
        <w:ind w:hanging="294"/>
        <w:contextualSpacing/>
        <w:jc w:val="both"/>
        <w:rPr>
          <w:color w:val="000000" w:themeColor="text1"/>
          <w:lang w:val="uk-UA"/>
        </w:rPr>
      </w:pPr>
      <w:r w:rsidRPr="00273490">
        <w:rPr>
          <w:color w:val="000000" w:themeColor="text1"/>
          <w:lang w:val="uk-UA"/>
        </w:rPr>
        <w:t>Бухгалтерський облік на підприємстві ведеться безперервно з дня реєстрації підприємства до його ліквідації;</w:t>
      </w:r>
    </w:p>
    <w:p w:rsidR="00273490" w:rsidRPr="00273490" w:rsidRDefault="00273490" w:rsidP="00273490">
      <w:pPr>
        <w:numPr>
          <w:ilvl w:val="0"/>
          <w:numId w:val="27"/>
        </w:numPr>
        <w:shd w:val="clear" w:color="auto" w:fill="FFFFFF"/>
        <w:autoSpaceDE w:val="0"/>
        <w:autoSpaceDN w:val="0"/>
        <w:adjustRightInd w:val="0"/>
        <w:ind w:hanging="294"/>
        <w:contextualSpacing/>
        <w:jc w:val="both"/>
        <w:rPr>
          <w:color w:val="000000" w:themeColor="text1"/>
          <w:lang w:val="uk-UA"/>
        </w:rPr>
      </w:pPr>
      <w:r w:rsidRPr="00273490">
        <w:rPr>
          <w:color w:val="000000" w:themeColor="text1"/>
          <w:lang w:val="uk-UA"/>
        </w:rPr>
        <w:t>Господарські операції повинні бути відображені в облікових регістрах у тому звітному періоді, в якому вони були здійснені;</w:t>
      </w:r>
    </w:p>
    <w:p w:rsidR="00273490" w:rsidRPr="00273490" w:rsidRDefault="00273490" w:rsidP="00273490">
      <w:pPr>
        <w:numPr>
          <w:ilvl w:val="0"/>
          <w:numId w:val="27"/>
        </w:numPr>
        <w:shd w:val="clear" w:color="auto" w:fill="FFFFFF"/>
        <w:autoSpaceDE w:val="0"/>
        <w:autoSpaceDN w:val="0"/>
        <w:adjustRightInd w:val="0"/>
        <w:ind w:hanging="294"/>
        <w:contextualSpacing/>
        <w:jc w:val="both"/>
        <w:rPr>
          <w:color w:val="000000" w:themeColor="text1"/>
          <w:lang w:val="uk-UA"/>
        </w:rPr>
      </w:pPr>
      <w:r w:rsidRPr="00273490">
        <w:rPr>
          <w:color w:val="000000" w:themeColor="text1"/>
          <w:lang w:val="uk-UA"/>
        </w:rPr>
        <w:t>Питання організації бухгалтерського обліку на підприємстві належать до компетенції його власника (власників) або уповноваженого органу (посадової особи) відповідно до законодавства та установчих документів.</w:t>
      </w:r>
    </w:p>
    <w:p w:rsidR="00273490" w:rsidRPr="00273490" w:rsidRDefault="00273490" w:rsidP="00273490">
      <w:pPr>
        <w:shd w:val="clear" w:color="auto" w:fill="FFFFFF"/>
        <w:autoSpaceDE w:val="0"/>
        <w:autoSpaceDN w:val="0"/>
        <w:adjustRightInd w:val="0"/>
        <w:ind w:firstLine="426"/>
        <w:contextualSpacing/>
        <w:jc w:val="both"/>
        <w:rPr>
          <w:color w:val="000000" w:themeColor="text1"/>
          <w:lang w:val="uk-UA"/>
        </w:rPr>
      </w:pPr>
      <w:r w:rsidRPr="00273490">
        <w:rPr>
          <w:color w:val="000000" w:themeColor="text1"/>
          <w:lang w:val="uk-UA"/>
        </w:rPr>
        <w:t xml:space="preserve">Економічні наслідки війни можуть вплинути на бухгалтерський облік та звітність компанії. Вплив залежить від таких чинників, як: </w:t>
      </w:r>
    </w:p>
    <w:p w:rsidR="00273490" w:rsidRPr="00273490" w:rsidRDefault="00273490" w:rsidP="00273490">
      <w:pPr>
        <w:numPr>
          <w:ilvl w:val="0"/>
          <w:numId w:val="26"/>
        </w:numPr>
        <w:shd w:val="clear" w:color="auto" w:fill="FFFFFF"/>
        <w:autoSpaceDE w:val="0"/>
        <w:autoSpaceDN w:val="0"/>
        <w:adjustRightInd w:val="0"/>
        <w:ind w:left="709" w:hanging="283"/>
        <w:contextualSpacing/>
        <w:jc w:val="both"/>
        <w:rPr>
          <w:color w:val="000000" w:themeColor="text1"/>
          <w:lang w:val="uk-UA"/>
        </w:rPr>
      </w:pPr>
      <w:r w:rsidRPr="00273490">
        <w:rPr>
          <w:color w:val="000000" w:themeColor="text1"/>
          <w:lang w:val="uk-UA"/>
        </w:rPr>
        <w:t>залежність від російського чи білоруського ринків – Товариство не має залежності від вказаних ринків;</w:t>
      </w:r>
    </w:p>
    <w:p w:rsidR="00273490" w:rsidRPr="00273490" w:rsidRDefault="00273490" w:rsidP="00273490">
      <w:pPr>
        <w:numPr>
          <w:ilvl w:val="0"/>
          <w:numId w:val="26"/>
        </w:numPr>
        <w:shd w:val="clear" w:color="auto" w:fill="FFFFFF"/>
        <w:autoSpaceDE w:val="0"/>
        <w:autoSpaceDN w:val="0"/>
        <w:adjustRightInd w:val="0"/>
        <w:ind w:left="709" w:hanging="283"/>
        <w:contextualSpacing/>
        <w:jc w:val="both"/>
        <w:rPr>
          <w:color w:val="000000" w:themeColor="text1"/>
          <w:lang w:val="uk-UA"/>
        </w:rPr>
      </w:pPr>
      <w:r w:rsidRPr="00273490">
        <w:rPr>
          <w:color w:val="000000" w:themeColor="text1"/>
          <w:lang w:val="uk-UA"/>
        </w:rPr>
        <w:t>наявність дочірніх компаній або активів в Росії, Білорусі або в зоні бойових дій – у Товариства відсутні дочірні компанії або активи в Росії та Білорусії. Зона бойових дій постійно змінюється та розширюється і тому погано підлягає прогнозуванню вплив бойових дій на діяльність Товариства;</w:t>
      </w:r>
    </w:p>
    <w:p w:rsidR="00273490" w:rsidRPr="00273490" w:rsidRDefault="00273490" w:rsidP="00273490">
      <w:pPr>
        <w:numPr>
          <w:ilvl w:val="0"/>
          <w:numId w:val="26"/>
        </w:numPr>
        <w:shd w:val="clear" w:color="auto" w:fill="FFFFFF"/>
        <w:autoSpaceDE w:val="0"/>
        <w:autoSpaceDN w:val="0"/>
        <w:adjustRightInd w:val="0"/>
        <w:ind w:left="709" w:hanging="283"/>
        <w:contextualSpacing/>
        <w:jc w:val="both"/>
        <w:rPr>
          <w:color w:val="000000" w:themeColor="text1"/>
          <w:lang w:val="uk-UA"/>
        </w:rPr>
      </w:pPr>
      <w:r w:rsidRPr="00273490">
        <w:rPr>
          <w:color w:val="000000" w:themeColor="text1"/>
          <w:lang w:val="uk-UA"/>
        </w:rPr>
        <w:t>пов’язаність з особами, що перебувають під санкціями – пов’язаність зі вказаними особами у Товариства відсутня.</w:t>
      </w:r>
    </w:p>
    <w:p w:rsidR="00273490" w:rsidRDefault="00273490" w:rsidP="00273490">
      <w:pPr>
        <w:shd w:val="clear" w:color="auto" w:fill="FFFFFF"/>
        <w:autoSpaceDE w:val="0"/>
        <w:autoSpaceDN w:val="0"/>
        <w:adjustRightInd w:val="0"/>
        <w:ind w:firstLine="397"/>
        <w:contextualSpacing/>
        <w:jc w:val="both"/>
        <w:rPr>
          <w:color w:val="000000" w:themeColor="text1"/>
          <w:lang w:val="uk-UA"/>
        </w:rPr>
      </w:pPr>
      <w:r w:rsidRPr="00273490">
        <w:rPr>
          <w:color w:val="000000" w:themeColor="text1"/>
          <w:lang w:val="uk-UA"/>
        </w:rPr>
        <w:t>Цей вплив переглядається, оскільки подальший розвиток, тривалість та вплив війни неможливо передбачити.</w:t>
      </w:r>
    </w:p>
    <w:p w:rsidR="00273490" w:rsidRPr="00273490" w:rsidRDefault="00273490" w:rsidP="00273490">
      <w:pPr>
        <w:shd w:val="clear" w:color="auto" w:fill="FFFFFF"/>
        <w:autoSpaceDE w:val="0"/>
        <w:autoSpaceDN w:val="0"/>
        <w:adjustRightInd w:val="0"/>
        <w:ind w:firstLine="397"/>
        <w:contextualSpacing/>
        <w:jc w:val="both"/>
        <w:rPr>
          <w:color w:val="000000" w:themeColor="text1"/>
          <w:lang w:val="uk-UA"/>
        </w:rPr>
      </w:pPr>
    </w:p>
    <w:bookmarkEnd w:id="0"/>
    <w:bookmarkEnd w:id="1"/>
    <w:bookmarkEnd w:id="2"/>
    <w:bookmarkEnd w:id="3"/>
    <w:p w:rsidR="00F309A3" w:rsidRPr="003433CB" w:rsidRDefault="00F309A3" w:rsidP="00F309A3">
      <w:pPr>
        <w:autoSpaceDE w:val="0"/>
        <w:autoSpaceDN w:val="0"/>
        <w:adjustRightInd w:val="0"/>
        <w:ind w:firstLine="567"/>
        <w:jc w:val="both"/>
        <w:rPr>
          <w:b/>
          <w:bCs/>
          <w:lang w:val="uk-UA"/>
        </w:rPr>
      </w:pPr>
      <w:r w:rsidRPr="003433CB">
        <w:rPr>
          <w:b/>
          <w:bCs/>
          <w:lang w:val="uk-UA"/>
        </w:rPr>
        <w:t>2.</w:t>
      </w:r>
      <w:r w:rsidR="007B5049" w:rsidRPr="003433CB">
        <w:rPr>
          <w:b/>
          <w:bCs/>
          <w:lang w:val="uk-UA"/>
        </w:rPr>
        <w:t>3</w:t>
      </w:r>
      <w:r w:rsidRPr="003433CB">
        <w:rPr>
          <w:b/>
          <w:bCs/>
          <w:lang w:val="uk-UA"/>
        </w:rPr>
        <w:t xml:space="preserve">. </w:t>
      </w:r>
      <w:r w:rsidR="00127862" w:rsidRPr="003433CB">
        <w:rPr>
          <w:b/>
          <w:bCs/>
          <w:lang w:val="uk-UA"/>
        </w:rPr>
        <w:t>Нові</w:t>
      </w:r>
      <w:r w:rsidRPr="003433CB">
        <w:rPr>
          <w:b/>
          <w:bCs/>
          <w:lang w:val="uk-UA"/>
        </w:rPr>
        <w:t xml:space="preserve"> М</w:t>
      </w:r>
      <w:r w:rsidR="00127862" w:rsidRPr="003433CB">
        <w:rPr>
          <w:b/>
          <w:bCs/>
          <w:lang w:val="uk-UA"/>
        </w:rPr>
        <w:t>СФЗ, що були випущені та набувають чинності з 1 січня 202</w:t>
      </w:r>
      <w:r w:rsidR="00444254" w:rsidRPr="003433CB">
        <w:rPr>
          <w:b/>
          <w:bCs/>
          <w:lang w:val="uk-UA"/>
        </w:rPr>
        <w:t>1</w:t>
      </w:r>
      <w:r w:rsidR="00127862" w:rsidRPr="003433CB">
        <w:rPr>
          <w:b/>
          <w:bCs/>
          <w:lang w:val="uk-UA"/>
        </w:rPr>
        <w:t xml:space="preserve"> року і пізніше</w:t>
      </w:r>
    </w:p>
    <w:p w:rsidR="00444254" w:rsidRDefault="00444254" w:rsidP="00EA7DC6">
      <w:pPr>
        <w:ind w:firstLine="567"/>
        <w:jc w:val="both"/>
        <w:rPr>
          <w:lang w:val="uk-UA"/>
        </w:rPr>
      </w:pPr>
      <w:r w:rsidRPr="003433CB">
        <w:rPr>
          <w:lang w:val="uk-UA"/>
        </w:rPr>
        <w:t>Таксономія фінансової</w:t>
      </w:r>
      <w:r w:rsidRPr="00444254">
        <w:rPr>
          <w:lang w:val="uk-UA"/>
        </w:rPr>
        <w:t xml:space="preserve"> звітності.</w:t>
      </w:r>
    </w:p>
    <w:p w:rsidR="00284DB1" w:rsidRDefault="00444254" w:rsidP="00EA7DC6">
      <w:pPr>
        <w:ind w:firstLine="567"/>
        <w:jc w:val="both"/>
        <w:rPr>
          <w:lang w:val="uk-UA"/>
        </w:rPr>
      </w:pPr>
      <w:r w:rsidRPr="00444254">
        <w:rPr>
          <w:lang w:val="uk-UA"/>
        </w:rPr>
        <w:t xml:space="preserve">Товариство, у зв’язку з наявним обов’язком складати фінансову звітність за МСФЗ, з 01.01.2020 року мало вперше подати її в електронному </w:t>
      </w:r>
      <w:r>
        <w:t>XBRL</w:t>
      </w:r>
      <w:r w:rsidRPr="00444254">
        <w:rPr>
          <w:lang w:val="uk-UA"/>
        </w:rPr>
        <w:t>-форматі до Системи фінансової звітності (</w:t>
      </w:r>
      <w:r>
        <w:t>frs</w:t>
      </w:r>
      <w:r w:rsidRPr="00444254">
        <w:rPr>
          <w:lang w:val="uk-UA"/>
        </w:rPr>
        <w:t>.</w:t>
      </w:r>
      <w:r>
        <w:t>gov</w:t>
      </w:r>
      <w:r w:rsidRPr="00444254">
        <w:rPr>
          <w:lang w:val="uk-UA"/>
        </w:rPr>
        <w:t>.</w:t>
      </w:r>
      <w:r>
        <w:t>ua</w:t>
      </w:r>
      <w:r w:rsidRPr="00444254">
        <w:rPr>
          <w:lang w:val="uk-UA"/>
        </w:rPr>
        <w:t xml:space="preserve">). </w:t>
      </w:r>
      <w:r>
        <w:t xml:space="preserve">Але остання не запрацювала в повному обсязі, і в більшості своїй підприємства України не мали можливості виконати вимоги законодавства, не зі своєї вини. Щоб підприємствам не довелося безвинно відповідати, законодавець вирішив на рік відтермінувати подання звітності в новому форматі. </w:t>
      </w:r>
    </w:p>
    <w:p w:rsidR="00284DB1" w:rsidRDefault="00444254" w:rsidP="00EA7DC6">
      <w:pPr>
        <w:ind w:firstLine="567"/>
        <w:jc w:val="both"/>
        <w:rPr>
          <w:lang w:val="uk-UA"/>
        </w:rPr>
      </w:pPr>
      <w:r w:rsidRPr="00284DB1">
        <w:rPr>
          <w:lang w:val="uk-UA"/>
        </w:rPr>
        <w:t xml:space="preserve">9 квітня 2021 року на засіданні Комітету з управління системою фінансової звітності було схвалено електронний формат Таксономії </w:t>
      </w:r>
      <w:r w:rsidRPr="007F6DC6">
        <w:rPr>
          <w:lang w:val="uk-UA"/>
        </w:rPr>
        <w:t>UA</w:t>
      </w:r>
      <w:r w:rsidRPr="00284DB1">
        <w:rPr>
          <w:lang w:val="uk-UA"/>
        </w:rPr>
        <w:t xml:space="preserve"> </w:t>
      </w:r>
      <w:r w:rsidRPr="007F6DC6">
        <w:rPr>
          <w:lang w:val="uk-UA"/>
        </w:rPr>
        <w:t>XBRL</w:t>
      </w:r>
      <w:r w:rsidRPr="00284DB1">
        <w:rPr>
          <w:lang w:val="uk-UA"/>
        </w:rPr>
        <w:t xml:space="preserve"> МСФЗ 2020 року (</w:t>
      </w:r>
      <w:r w:rsidRPr="007F6DC6">
        <w:rPr>
          <w:lang w:val="uk-UA"/>
        </w:rPr>
        <w:t>v</w:t>
      </w:r>
      <w:r w:rsidRPr="00284DB1">
        <w:rPr>
          <w:lang w:val="uk-UA"/>
        </w:rPr>
        <w:t>.1.2) для використання суб’єктами звітування при складанні фінансової звітності в електронному форматі за 2020 рік та проміжної фінансової звітності в 2021 році.</w:t>
      </w:r>
    </w:p>
    <w:p w:rsidR="00284DB1" w:rsidRDefault="00444254" w:rsidP="00EA7DC6">
      <w:pPr>
        <w:ind w:firstLine="567"/>
        <w:jc w:val="both"/>
        <w:rPr>
          <w:lang w:val="uk-UA"/>
        </w:rPr>
      </w:pPr>
      <w:r w:rsidRPr="00284DB1">
        <w:rPr>
          <w:lang w:val="uk-UA"/>
        </w:rPr>
        <w:t xml:space="preserve"> Електронний формат Таксономії </w:t>
      </w:r>
      <w:r w:rsidRPr="007F6DC6">
        <w:rPr>
          <w:lang w:val="uk-UA"/>
        </w:rPr>
        <w:t>UA</w:t>
      </w:r>
      <w:r w:rsidRPr="00284DB1">
        <w:rPr>
          <w:lang w:val="uk-UA"/>
        </w:rPr>
        <w:t xml:space="preserve"> </w:t>
      </w:r>
      <w:r w:rsidRPr="007F6DC6">
        <w:rPr>
          <w:lang w:val="uk-UA"/>
        </w:rPr>
        <w:t>XBRL</w:t>
      </w:r>
      <w:r w:rsidRPr="00284DB1">
        <w:rPr>
          <w:lang w:val="uk-UA"/>
        </w:rPr>
        <w:t xml:space="preserve"> МСФЗ 2020 року (</w:t>
      </w:r>
      <w:r w:rsidRPr="007F6DC6">
        <w:rPr>
          <w:lang w:val="uk-UA"/>
        </w:rPr>
        <w:t>v</w:t>
      </w:r>
      <w:r w:rsidRPr="00284DB1">
        <w:rPr>
          <w:lang w:val="uk-UA"/>
        </w:rPr>
        <w:t>.1.2) оприлюднений на офіційних сайтах НКЦПФР (</w:t>
      </w:r>
      <w:r w:rsidRPr="007F6DC6">
        <w:rPr>
          <w:lang w:val="uk-UA"/>
        </w:rPr>
        <w:t>www</w:t>
      </w:r>
      <w:r w:rsidRPr="00284DB1">
        <w:rPr>
          <w:lang w:val="uk-UA"/>
        </w:rPr>
        <w:t>.</w:t>
      </w:r>
      <w:r w:rsidRPr="007F6DC6">
        <w:rPr>
          <w:lang w:val="uk-UA"/>
        </w:rPr>
        <w:t>nssmc</w:t>
      </w:r>
      <w:r w:rsidRPr="00284DB1">
        <w:rPr>
          <w:lang w:val="uk-UA"/>
        </w:rPr>
        <w:t>.</w:t>
      </w:r>
      <w:r w:rsidRPr="007F6DC6">
        <w:rPr>
          <w:lang w:val="uk-UA"/>
        </w:rPr>
        <w:t>gov</w:t>
      </w:r>
      <w:r w:rsidRPr="00284DB1">
        <w:rPr>
          <w:lang w:val="uk-UA"/>
        </w:rPr>
        <w:t>.</w:t>
      </w:r>
      <w:r w:rsidRPr="007F6DC6">
        <w:rPr>
          <w:lang w:val="uk-UA"/>
        </w:rPr>
        <w:t>ua</w:t>
      </w:r>
      <w:r w:rsidRPr="00284DB1">
        <w:rPr>
          <w:lang w:val="uk-UA"/>
        </w:rPr>
        <w:t>), НБУ (</w:t>
      </w:r>
      <w:r w:rsidRPr="007F6DC6">
        <w:rPr>
          <w:lang w:val="uk-UA"/>
        </w:rPr>
        <w:t>www</w:t>
      </w:r>
      <w:r w:rsidRPr="00284DB1">
        <w:rPr>
          <w:lang w:val="uk-UA"/>
        </w:rPr>
        <w:t>.</w:t>
      </w:r>
      <w:r w:rsidRPr="007F6DC6">
        <w:rPr>
          <w:lang w:val="uk-UA"/>
        </w:rPr>
        <w:t>nbu</w:t>
      </w:r>
      <w:r w:rsidRPr="00284DB1">
        <w:rPr>
          <w:lang w:val="uk-UA"/>
        </w:rPr>
        <w:t>.</w:t>
      </w:r>
      <w:r w:rsidRPr="007F6DC6">
        <w:rPr>
          <w:lang w:val="uk-UA"/>
        </w:rPr>
        <w:t>gov</w:t>
      </w:r>
      <w:r w:rsidRPr="00284DB1">
        <w:rPr>
          <w:lang w:val="uk-UA"/>
        </w:rPr>
        <w:t>.</w:t>
      </w:r>
      <w:r w:rsidRPr="007F6DC6">
        <w:rPr>
          <w:lang w:val="uk-UA"/>
        </w:rPr>
        <w:t>ua</w:t>
      </w:r>
      <w:r w:rsidRPr="00284DB1">
        <w:rPr>
          <w:lang w:val="uk-UA"/>
        </w:rPr>
        <w:t>), Міністерства фінансів України (</w:t>
      </w:r>
      <w:r w:rsidRPr="007F6DC6">
        <w:rPr>
          <w:lang w:val="uk-UA"/>
        </w:rPr>
        <w:t>www</w:t>
      </w:r>
      <w:r w:rsidRPr="00284DB1">
        <w:rPr>
          <w:lang w:val="uk-UA"/>
        </w:rPr>
        <w:t>.</w:t>
      </w:r>
      <w:r w:rsidRPr="007F6DC6">
        <w:rPr>
          <w:lang w:val="uk-UA"/>
        </w:rPr>
        <w:t>mof</w:t>
      </w:r>
      <w:r w:rsidRPr="00284DB1">
        <w:rPr>
          <w:lang w:val="uk-UA"/>
        </w:rPr>
        <w:t>.</w:t>
      </w:r>
      <w:r w:rsidRPr="007F6DC6">
        <w:rPr>
          <w:lang w:val="uk-UA"/>
        </w:rPr>
        <w:t>gov</w:t>
      </w:r>
      <w:r w:rsidRPr="00284DB1">
        <w:rPr>
          <w:lang w:val="uk-UA"/>
        </w:rPr>
        <w:t>.</w:t>
      </w:r>
      <w:r w:rsidRPr="007F6DC6">
        <w:rPr>
          <w:lang w:val="uk-UA"/>
        </w:rPr>
        <w:t>ua</w:t>
      </w:r>
      <w:r w:rsidRPr="00284DB1">
        <w:rPr>
          <w:lang w:val="uk-UA"/>
        </w:rPr>
        <w:t>) та на офіційному сайті Системи фінансової звітності (</w:t>
      </w:r>
      <w:hyperlink r:id="rId9" w:history="1">
        <w:r w:rsidR="00284DB1" w:rsidRPr="007F6DC6">
          <w:rPr>
            <w:lang w:val="uk-UA"/>
          </w:rPr>
          <w:t>www.frs.gov.ua</w:t>
        </w:r>
      </w:hyperlink>
      <w:r w:rsidRPr="00284DB1">
        <w:rPr>
          <w:lang w:val="uk-UA"/>
        </w:rPr>
        <w:t>).</w:t>
      </w:r>
    </w:p>
    <w:p w:rsidR="00284DB1" w:rsidRDefault="00444254" w:rsidP="00EA7DC6">
      <w:pPr>
        <w:ind w:firstLine="567"/>
        <w:jc w:val="both"/>
        <w:rPr>
          <w:lang w:val="uk-UA"/>
        </w:rPr>
      </w:pPr>
      <w:r w:rsidRPr="00284DB1">
        <w:rPr>
          <w:lang w:val="uk-UA"/>
        </w:rPr>
        <w:t xml:space="preserve"> Про старт кампанії з подання до ЦЗФЗ фінансової звітності, складеної на основі Таксономії </w:t>
      </w:r>
      <w:r w:rsidRPr="007F6DC6">
        <w:rPr>
          <w:lang w:val="uk-UA"/>
        </w:rPr>
        <w:t>UA</w:t>
      </w:r>
      <w:r w:rsidRPr="00284DB1">
        <w:rPr>
          <w:lang w:val="uk-UA"/>
        </w:rPr>
        <w:t xml:space="preserve"> </w:t>
      </w:r>
      <w:r w:rsidRPr="007F6DC6">
        <w:rPr>
          <w:lang w:val="uk-UA"/>
        </w:rPr>
        <w:t>XBRL</w:t>
      </w:r>
      <w:r w:rsidRPr="00284DB1">
        <w:rPr>
          <w:lang w:val="uk-UA"/>
        </w:rPr>
        <w:t xml:space="preserve"> МСФЗ 2020 року в єдиному електронному форматі, регулятором (НКЦПФР) було повідомлено на офіційному сайті після завершення налаштування системи. </w:t>
      </w:r>
    </w:p>
    <w:p w:rsidR="00E85666" w:rsidRPr="007F6DC6" w:rsidRDefault="0057721B" w:rsidP="00226248">
      <w:pPr>
        <w:ind w:firstLine="567"/>
        <w:jc w:val="both"/>
        <w:rPr>
          <w:lang w:val="uk-UA"/>
        </w:rPr>
      </w:pPr>
      <w:r w:rsidRPr="007F6DC6">
        <w:rPr>
          <w:lang w:val="uk-UA"/>
        </w:rPr>
        <w:t>Вперше фінансову звітність на основі Таксономії МСФЗ за міжнародним стандартом XBRL Товариство</w:t>
      </w:r>
      <w:r>
        <w:rPr>
          <w:lang w:val="uk-UA"/>
        </w:rPr>
        <w:t xml:space="preserve">м було складено </w:t>
      </w:r>
      <w:r w:rsidR="00226248">
        <w:rPr>
          <w:lang w:val="uk-UA"/>
        </w:rPr>
        <w:t>у 2021 році за 2020 рік.</w:t>
      </w:r>
    </w:p>
    <w:p w:rsidR="00CB037A" w:rsidRPr="007F6DC6" w:rsidRDefault="00CB037A" w:rsidP="00EA7DC6">
      <w:pPr>
        <w:ind w:firstLine="567"/>
        <w:jc w:val="both"/>
        <w:rPr>
          <w:lang w:val="uk-UA"/>
        </w:rPr>
      </w:pPr>
    </w:p>
    <w:p w:rsidR="00CB037A" w:rsidRPr="007F6DC6" w:rsidRDefault="00CB037A" w:rsidP="00EA7DC6">
      <w:pPr>
        <w:ind w:firstLine="567"/>
        <w:jc w:val="both"/>
        <w:rPr>
          <w:lang w:val="uk-UA"/>
        </w:rPr>
      </w:pPr>
      <w:r w:rsidRPr="007F6DC6">
        <w:rPr>
          <w:lang w:val="uk-UA"/>
        </w:rPr>
        <w:t xml:space="preserve">Поправки до МСФЗ (IFRS) 16 «Оренда» внесено у зв'язку з пандемією і вони дозволяють не визнавати зміни вдоговорах внаслідок коронавирусу їх модифікацією. З 1 червня 2020 року орендарі можуть не перевіряти такі зміни на предмет відповідності визначенню модифікації 8 договору оренди. Досить зробити припущення, що це немодифікація, і розкрити цей факт в примітках. Це стосується всіх заходів підтримки для орендарів, які впливають на орендні платежі, і поширюється до червня 2021 року, аби включити пільги по оренді, надані на рік. Рада з МСФЗ вирішила не надавати будь-яких додаткових пільг орендодавцям,оскільки вважає поточну ситуаціюдля них не такою складною, як для орендарів. Застосування Поправки до МСФЗ(IFRS) 16 «Оренда» на відображення результатів діяльності </w:t>
      </w:r>
      <w:r w:rsidR="009A5360">
        <w:rPr>
          <w:lang w:val="uk-UA"/>
        </w:rPr>
        <w:t xml:space="preserve">Товариства </w:t>
      </w:r>
      <w:r w:rsidRPr="007F6DC6">
        <w:rPr>
          <w:lang w:val="uk-UA"/>
        </w:rPr>
        <w:t>не мало впливу.</w:t>
      </w:r>
    </w:p>
    <w:p w:rsidR="00E85666" w:rsidRPr="007F6DC6" w:rsidRDefault="009A5360" w:rsidP="00EA7DC6">
      <w:pPr>
        <w:ind w:firstLine="567"/>
        <w:jc w:val="both"/>
        <w:rPr>
          <w:lang w:val="uk-UA"/>
        </w:rPr>
      </w:pPr>
      <w:r w:rsidRPr="007F6DC6">
        <w:rPr>
          <w:lang w:val="uk-UA"/>
        </w:rPr>
        <w:t>Нові поправки, що набу</w:t>
      </w:r>
      <w:r w:rsidR="00B25A0F" w:rsidRPr="007F6DC6">
        <w:rPr>
          <w:lang w:val="uk-UA"/>
        </w:rPr>
        <w:t>ли</w:t>
      </w:r>
      <w:r w:rsidRPr="007F6DC6">
        <w:rPr>
          <w:lang w:val="uk-UA"/>
        </w:rPr>
        <w:t xml:space="preserve"> чинності з 01.01.2021: </w:t>
      </w:r>
      <w:r w:rsidR="00B738B4" w:rsidRPr="007F6DC6">
        <w:rPr>
          <w:lang w:val="uk-UA"/>
        </w:rPr>
        <w:t xml:space="preserve">МСФЗ (IFRS) 9, МСФЗ (IAS) 39, МСФЗ (IFRS) 7, МСФЗ (IFRS) 4 та МСФЗ (IFRS) 16 – Реформа базової процентної ставки (IBOR), </w:t>
      </w:r>
      <w:r w:rsidR="007F6DC6" w:rsidRPr="007F6DC6">
        <w:rPr>
          <w:lang w:val="uk-UA"/>
        </w:rPr>
        <w:t>е</w:t>
      </w:r>
      <w:r w:rsidR="00B738B4" w:rsidRPr="007F6DC6">
        <w:rPr>
          <w:lang w:val="uk-UA"/>
        </w:rPr>
        <w:t xml:space="preserve">тап 2., </w:t>
      </w:r>
      <w:r w:rsidR="00444254" w:rsidRPr="007F6DC6">
        <w:rPr>
          <w:lang w:val="uk-UA"/>
        </w:rPr>
        <w:t>МСФЗ (IFRS) 17 «Договори страхування»</w:t>
      </w:r>
      <w:r w:rsidR="00D57D0D" w:rsidRPr="007F6DC6">
        <w:rPr>
          <w:lang w:val="uk-UA"/>
        </w:rPr>
        <w:t>.</w:t>
      </w:r>
      <w:r w:rsidR="00B738B4" w:rsidRPr="007F6DC6">
        <w:rPr>
          <w:lang w:val="uk-UA"/>
        </w:rPr>
        <w:t xml:space="preserve"> </w:t>
      </w:r>
      <w:r w:rsidR="009F2F99" w:rsidRPr="007F6DC6">
        <w:rPr>
          <w:lang w:val="uk-UA"/>
        </w:rPr>
        <w:t>Вимоги МСФЗ 17 не поширюються на Товариство, у зв’язку з тим, що Товариство не здійснює страхову діяльність.</w:t>
      </w:r>
    </w:p>
    <w:p w:rsidR="00444254" w:rsidRPr="007F6DC6" w:rsidRDefault="00444254" w:rsidP="00EA7DC6">
      <w:pPr>
        <w:ind w:firstLine="567"/>
        <w:jc w:val="both"/>
        <w:rPr>
          <w:lang w:val="uk-UA"/>
        </w:rPr>
      </w:pPr>
      <w:r w:rsidRPr="007F6DC6">
        <w:rPr>
          <w:lang w:val="uk-UA"/>
        </w:rPr>
        <w:t>Товариство застосовує всі МСФЗ, які набули чинності до, або з 01.01.2021 року. Поправки та зміни до МСФЗ, що внесені, не вплинули на фінансову звітність за 2021</w:t>
      </w:r>
      <w:r w:rsidR="0057721B" w:rsidRPr="007F6DC6">
        <w:rPr>
          <w:lang w:val="uk-UA"/>
        </w:rPr>
        <w:t xml:space="preserve"> </w:t>
      </w:r>
      <w:r w:rsidRPr="007F6DC6">
        <w:rPr>
          <w:lang w:val="uk-UA"/>
        </w:rPr>
        <w:t>р</w:t>
      </w:r>
      <w:r w:rsidR="0057721B" w:rsidRPr="007F6DC6">
        <w:rPr>
          <w:lang w:val="uk-UA"/>
        </w:rPr>
        <w:t>ік</w:t>
      </w:r>
      <w:r w:rsidRPr="007F6DC6">
        <w:rPr>
          <w:lang w:val="uk-UA"/>
        </w:rPr>
        <w:t>.</w:t>
      </w:r>
    </w:p>
    <w:p w:rsidR="00F309A3" w:rsidRPr="007F6DC6" w:rsidRDefault="003471F5" w:rsidP="00EA7DC6">
      <w:pPr>
        <w:ind w:firstLine="567"/>
        <w:jc w:val="both"/>
        <w:rPr>
          <w:lang w:val="uk-UA"/>
        </w:rPr>
      </w:pPr>
      <w:r w:rsidRPr="007F6DC6">
        <w:rPr>
          <w:lang w:val="uk-UA"/>
        </w:rPr>
        <w:t>В складі МСФЗ, офіційно наведених на веб-сайті Міністерства фінансів України, оприлюднено зміни до стандартів, ефективна дата застосування яких наступила з 01 січня 202</w:t>
      </w:r>
      <w:r w:rsidR="00B25A0F" w:rsidRPr="007F6DC6">
        <w:rPr>
          <w:lang w:val="uk-UA"/>
        </w:rPr>
        <w:t>2</w:t>
      </w:r>
      <w:r w:rsidRPr="007F6DC6">
        <w:rPr>
          <w:lang w:val="uk-UA"/>
        </w:rPr>
        <w:t xml:space="preserve"> року і пізніше, а саме:</w:t>
      </w:r>
      <w:r w:rsidR="007F6DC6" w:rsidRPr="007F6DC6">
        <w:rPr>
          <w:lang w:val="uk-UA"/>
        </w:rPr>
        <w:t xml:space="preserve"> зміни до МСФЗ (IFRS) 3 “Об’єднання бізнесу”, МСБО (IAS) 16 “Основні засоби” та МСБО (IAS) 37 “Резерви, умовні зобов’язання та умовні активи”. </w:t>
      </w:r>
      <w:r w:rsidRPr="007F6DC6">
        <w:rPr>
          <w:lang w:val="uk-UA"/>
        </w:rPr>
        <w:t>Очікується, що нові стандарти і роз’яснення, не будуть мати значного впливу на діяльність Товариства.</w:t>
      </w:r>
      <w:r w:rsidR="00F309A3" w:rsidRPr="007F6DC6">
        <w:rPr>
          <w:lang w:val="uk-UA"/>
        </w:rPr>
        <w:t xml:space="preserve"> </w:t>
      </w:r>
    </w:p>
    <w:p w:rsidR="006A7D54" w:rsidRPr="007F6DC6" w:rsidRDefault="006A7D54" w:rsidP="00EA7DC6">
      <w:pPr>
        <w:ind w:firstLine="567"/>
        <w:jc w:val="both"/>
        <w:rPr>
          <w:lang w:val="uk-UA"/>
        </w:rPr>
      </w:pPr>
      <w:r w:rsidRPr="007F6DC6">
        <w:rPr>
          <w:lang w:val="uk-UA"/>
        </w:rPr>
        <w:t>Стандарти та інтерпретації, які були випущені чи оновлені, але не набрали чинності на дату випуску фінанс</w:t>
      </w:r>
      <w:r w:rsidR="00F12868">
        <w:rPr>
          <w:lang w:val="uk-UA"/>
        </w:rPr>
        <w:t xml:space="preserve">ової звітності товариством, Компания </w:t>
      </w:r>
      <w:r w:rsidRPr="007F6DC6">
        <w:rPr>
          <w:lang w:val="uk-UA"/>
        </w:rPr>
        <w:t xml:space="preserve"> має намір використовувати з дати їх вступу в дію. Вплив, який буде мати таке перше застосування цих МСФЗ на фінансову звітність  не можна зараз обґрунтовано оцінити.</w:t>
      </w:r>
    </w:p>
    <w:p w:rsidR="006A7D54" w:rsidRPr="007F6DC6" w:rsidRDefault="006A7D54" w:rsidP="00EA7DC6">
      <w:pPr>
        <w:ind w:firstLine="567"/>
        <w:jc w:val="both"/>
        <w:rPr>
          <w:lang w:val="uk-UA"/>
        </w:rPr>
      </w:pPr>
      <w:r w:rsidRPr="007F6DC6">
        <w:rPr>
          <w:lang w:val="uk-UA"/>
        </w:rPr>
        <w:t>Основні принципи облікової політики, застосовані при підготовці цієї  фінансової звітності, наведені нижче. Ці принципи облікової політики послідовно застосовувалися протягом усіх представлених звітів періодів.</w:t>
      </w:r>
    </w:p>
    <w:p w:rsidR="006A7D54" w:rsidRPr="007F6DC6" w:rsidRDefault="006A7D54" w:rsidP="00EA7DC6">
      <w:pPr>
        <w:ind w:firstLine="567"/>
        <w:jc w:val="both"/>
        <w:rPr>
          <w:lang w:val="uk-UA"/>
        </w:rPr>
      </w:pPr>
      <w:r w:rsidRPr="007F6DC6">
        <w:rPr>
          <w:lang w:val="uk-UA"/>
        </w:rPr>
        <w:t>Фінансова звітність складена на основі принципу історичної (фактичної) собівартості, за винятком фінансових активів, що оцінюються за справедливою вартістю.</w:t>
      </w:r>
    </w:p>
    <w:p w:rsidR="000A2EA2" w:rsidRPr="007F6DC6" w:rsidRDefault="000A2EA2" w:rsidP="007F6DC6">
      <w:pPr>
        <w:ind w:firstLine="567"/>
        <w:jc w:val="both"/>
        <w:rPr>
          <w:lang w:val="uk-UA"/>
        </w:rPr>
      </w:pPr>
    </w:p>
    <w:p w:rsidR="00C13B58" w:rsidRPr="007F6DC6" w:rsidRDefault="00C13B58" w:rsidP="007F6DC6">
      <w:pPr>
        <w:ind w:firstLine="567"/>
        <w:jc w:val="both"/>
        <w:rPr>
          <w:b/>
          <w:bCs/>
          <w:lang w:val="uk-UA"/>
        </w:rPr>
      </w:pPr>
      <w:r w:rsidRPr="007F6DC6">
        <w:rPr>
          <w:b/>
          <w:bCs/>
          <w:lang w:val="uk-UA"/>
        </w:rPr>
        <w:t>2.4. Припущення про безперервність діяльності</w:t>
      </w:r>
    </w:p>
    <w:p w:rsidR="00397EDC" w:rsidRPr="00397EDC" w:rsidRDefault="00397EDC" w:rsidP="00397EDC">
      <w:pPr>
        <w:shd w:val="clear" w:color="auto" w:fill="FFFFFF"/>
        <w:autoSpaceDE w:val="0"/>
        <w:autoSpaceDN w:val="0"/>
        <w:adjustRightInd w:val="0"/>
        <w:ind w:firstLine="426"/>
        <w:contextualSpacing/>
        <w:jc w:val="both"/>
        <w:rPr>
          <w:lang w:val="uk-UA"/>
        </w:rPr>
      </w:pPr>
      <w:r w:rsidRPr="00397EDC">
        <w:rPr>
          <w:lang w:val="uk-UA"/>
        </w:rPr>
        <w:t>Ця фінансова звітність Товариства підготовлена виходячи з припущення безперервності діяльності, відповідно до якого реалізація активів і погашення зобов’язань відбувається в ході звичайної діяльності. Фінансова звітність не включає коригування, які необхідно було б провести в тому випадку, якби Товариство не могло продовжити подальше здійснення фінансово-господарської діяльності відповідно до принципів безперервності діяльності.</w:t>
      </w:r>
    </w:p>
    <w:p w:rsidR="00397EDC" w:rsidRPr="00397EDC" w:rsidRDefault="00397EDC" w:rsidP="00397EDC">
      <w:pPr>
        <w:shd w:val="clear" w:color="auto" w:fill="FFFFFF"/>
        <w:autoSpaceDE w:val="0"/>
        <w:autoSpaceDN w:val="0"/>
        <w:adjustRightInd w:val="0"/>
        <w:ind w:firstLine="426"/>
        <w:contextualSpacing/>
        <w:jc w:val="both"/>
        <w:rPr>
          <w:lang w:val="uk-UA"/>
        </w:rPr>
      </w:pPr>
      <w:r w:rsidRPr="00397EDC">
        <w:rPr>
          <w:lang w:val="uk-UA"/>
        </w:rPr>
        <w:t>Припущення про безперервність діяльності суб'єкта господарювання, що звітує, та про те, що ця діяльність триватиме в передбачуваному майбутньому. Як «передбачуване майбутнє» розглядають щонайменше період у 12 місяців. Таку саму вимогу містить і п.25 МСБО (IAS) 1: складаючи фінансову звітність, управлінський персонал  повинен оцінювати здатність суб'єкта господарювання продовжувати свою діяльність на безперервній основі.</w:t>
      </w:r>
    </w:p>
    <w:p w:rsidR="00397EDC" w:rsidRPr="00397EDC" w:rsidRDefault="00397EDC" w:rsidP="00397EDC">
      <w:pPr>
        <w:shd w:val="clear" w:color="auto" w:fill="FFFFFF"/>
        <w:autoSpaceDE w:val="0"/>
        <w:autoSpaceDN w:val="0"/>
        <w:adjustRightInd w:val="0"/>
        <w:ind w:firstLine="426"/>
        <w:contextualSpacing/>
        <w:jc w:val="both"/>
        <w:rPr>
          <w:lang w:val="uk-UA"/>
        </w:rPr>
      </w:pPr>
      <w:r w:rsidRPr="00397EDC">
        <w:rPr>
          <w:lang w:val="uk-UA"/>
        </w:rPr>
        <w:t>По суті, </w:t>
      </w:r>
      <w:r w:rsidRPr="00397EDC">
        <w:rPr>
          <w:b/>
          <w:bCs/>
          <w:i/>
          <w:iCs/>
          <w:lang w:val="uk-UA"/>
        </w:rPr>
        <w:t>безперервність</w:t>
      </w:r>
      <w:r w:rsidRPr="00397EDC">
        <w:rPr>
          <w:lang w:val="uk-UA"/>
        </w:rPr>
        <w:t> є:</w:t>
      </w:r>
    </w:p>
    <w:p w:rsidR="00397EDC" w:rsidRPr="00397EDC" w:rsidRDefault="00397EDC" w:rsidP="00397EDC">
      <w:pPr>
        <w:shd w:val="clear" w:color="auto" w:fill="FFFFFF"/>
        <w:autoSpaceDE w:val="0"/>
        <w:autoSpaceDN w:val="0"/>
        <w:adjustRightInd w:val="0"/>
        <w:ind w:firstLine="426"/>
        <w:contextualSpacing/>
        <w:jc w:val="both"/>
        <w:rPr>
          <w:lang w:val="uk-UA"/>
        </w:rPr>
      </w:pPr>
      <w:r w:rsidRPr="00397EDC">
        <w:rPr>
          <w:lang w:val="uk-UA"/>
        </w:rPr>
        <w:t>– по-перше, свідченням того, що підприємство є ліквідним і платоспроможним (здатне генерувати надходження грошових коштів у достатній кількості для погашення зобов'язань перед постачальниками, кредиторами, працівниками, державою тощо);</w:t>
      </w:r>
    </w:p>
    <w:p w:rsidR="00397EDC" w:rsidRPr="00397EDC" w:rsidRDefault="00397EDC" w:rsidP="00397EDC">
      <w:pPr>
        <w:shd w:val="clear" w:color="auto" w:fill="FFFFFF"/>
        <w:autoSpaceDE w:val="0"/>
        <w:autoSpaceDN w:val="0"/>
        <w:adjustRightInd w:val="0"/>
        <w:ind w:firstLine="426"/>
        <w:contextualSpacing/>
        <w:jc w:val="both"/>
        <w:rPr>
          <w:lang w:val="uk-UA"/>
        </w:rPr>
      </w:pPr>
      <w:r w:rsidRPr="00397EDC">
        <w:rPr>
          <w:lang w:val="uk-UA"/>
        </w:rPr>
        <w:t>– по-друге, демонструє відсутність планів та підстав для його ліквідації чи припинення.</w:t>
      </w:r>
    </w:p>
    <w:p w:rsidR="00397EDC" w:rsidRPr="00397EDC" w:rsidRDefault="00397EDC" w:rsidP="00397EDC">
      <w:pPr>
        <w:shd w:val="clear" w:color="auto" w:fill="FFFFFF"/>
        <w:autoSpaceDE w:val="0"/>
        <w:autoSpaceDN w:val="0"/>
        <w:adjustRightInd w:val="0"/>
        <w:ind w:firstLine="426"/>
        <w:contextualSpacing/>
        <w:jc w:val="both"/>
        <w:rPr>
          <w:lang w:val="uk-UA"/>
        </w:rPr>
      </w:pPr>
      <w:r w:rsidRPr="00397EDC">
        <w:rPr>
          <w:lang w:val="uk-UA"/>
        </w:rPr>
        <w:t>24 лютого 2022 року Російська Федерація розпочала широкомасштабне військове вторгнення в Україну по всій довжині спільного кордону – з території Росії, Білорусі, а також анексованого Криму. На території України тривають запеклі бойові дії, що призводять до загибелі тисяч мирних жителів. Деякі українські міста зруйновані.</w:t>
      </w:r>
    </w:p>
    <w:p w:rsidR="00397EDC" w:rsidRPr="00397EDC" w:rsidRDefault="00397EDC" w:rsidP="00397EDC">
      <w:pPr>
        <w:shd w:val="clear" w:color="auto" w:fill="FFFFFF"/>
        <w:autoSpaceDE w:val="0"/>
        <w:autoSpaceDN w:val="0"/>
        <w:adjustRightInd w:val="0"/>
        <w:ind w:firstLine="426"/>
        <w:contextualSpacing/>
        <w:jc w:val="both"/>
        <w:rPr>
          <w:lang w:val="uk-UA"/>
        </w:rPr>
      </w:pPr>
      <w:r w:rsidRPr="00397EDC">
        <w:rPr>
          <w:lang w:val="uk-UA"/>
        </w:rPr>
        <w:t>Початок 24.02.2022 війни Росії проти України вносить велику невизначеність щодо подальшого розвитку бізнесу. Тим не менш, слід зауважити, що на сьогоднішній день відбувається поступове відновлення діяльності на територіях, де бойові дії не відбувались або не були занадто руйнівними і критична інфраструктура не зазнала великих ушкоджень. Багато бізнесів провадять релокацію в більш безпечні і не зачеплені війною регіони країни. Таким чином, вплив війни на бізнес залежить від розвитку подій на фронтах.</w:t>
      </w:r>
    </w:p>
    <w:p w:rsidR="00397EDC" w:rsidRPr="00397EDC" w:rsidRDefault="00397EDC" w:rsidP="00397EDC">
      <w:pPr>
        <w:shd w:val="clear" w:color="auto" w:fill="FFFFFF"/>
        <w:autoSpaceDE w:val="0"/>
        <w:autoSpaceDN w:val="0"/>
        <w:adjustRightInd w:val="0"/>
        <w:ind w:firstLine="426"/>
        <w:contextualSpacing/>
        <w:jc w:val="both"/>
        <w:rPr>
          <w:lang w:val="uk-UA"/>
        </w:rPr>
      </w:pPr>
      <w:r w:rsidRPr="00397EDC">
        <w:rPr>
          <w:lang w:val="uk-UA"/>
        </w:rPr>
        <w:t>Уряд, НБУ, НКЦПФР приймають рішення покликанні мінімізувати негативний вплив наслідків військової агресії Російської Федерації проти України та сприяти стабільності економіки і ринків капіталу.</w:t>
      </w:r>
    </w:p>
    <w:p w:rsidR="00397EDC" w:rsidRPr="00397EDC" w:rsidRDefault="00397EDC" w:rsidP="00397EDC">
      <w:pPr>
        <w:shd w:val="clear" w:color="auto" w:fill="FFFFFF"/>
        <w:autoSpaceDE w:val="0"/>
        <w:autoSpaceDN w:val="0"/>
        <w:adjustRightInd w:val="0"/>
        <w:ind w:firstLine="426"/>
        <w:contextualSpacing/>
        <w:jc w:val="both"/>
        <w:rPr>
          <w:lang w:val="uk-UA"/>
        </w:rPr>
      </w:pPr>
      <w:r w:rsidRPr="00397EDC">
        <w:rPr>
          <w:lang w:val="uk-UA"/>
        </w:rPr>
        <w:t>У зв’язку з військовою агресією Російської Федерації проти України та введенням воєнного стану в Україні відповідно до Указу Президента України від 24 лютого 2022 року №64/2022 «Про введення воєнного стану в Україні», затвердженого Законом України від 24 лютого 2022 року №2102-IX (який продовжено до 25 травня 2022року), Торгово-промислова палата визнає військову агресію Російської Федерації проти України форс-мажорними обставинам. Зазначені обставини є форс-мажорними (надзвичайними, невідворотними) з 24 лютого 2022 року до їх офіційного закінчення для всіх без винятку суб’єктів господарювання.</w:t>
      </w:r>
    </w:p>
    <w:p w:rsidR="00397EDC" w:rsidRPr="00397EDC" w:rsidRDefault="00397EDC" w:rsidP="00397EDC">
      <w:pPr>
        <w:shd w:val="clear" w:color="auto" w:fill="FFFFFF"/>
        <w:autoSpaceDE w:val="0"/>
        <w:autoSpaceDN w:val="0"/>
        <w:adjustRightInd w:val="0"/>
        <w:ind w:firstLine="426"/>
        <w:contextualSpacing/>
        <w:jc w:val="both"/>
        <w:rPr>
          <w:lang w:val="uk-UA"/>
        </w:rPr>
      </w:pPr>
      <w:r w:rsidRPr="00397EDC">
        <w:rPr>
          <w:lang w:val="uk-UA"/>
        </w:rPr>
        <w:t>Згідно статті 8 Закону України «Про правовий режим воєнного стану», передбачається що на період введення воєнного стану, як особливого правового режиму, можуть бути введені тимчасові, обумовлені загрозою, обмеження прав і законних інтересів юридичних осіб із зазначенням строку дії цих обмежень.</w:t>
      </w:r>
    </w:p>
    <w:p w:rsidR="00397EDC" w:rsidRPr="00397EDC" w:rsidRDefault="00397EDC" w:rsidP="00397EDC">
      <w:pPr>
        <w:shd w:val="clear" w:color="auto" w:fill="FFFFFF"/>
        <w:autoSpaceDE w:val="0"/>
        <w:autoSpaceDN w:val="0"/>
        <w:adjustRightInd w:val="0"/>
        <w:ind w:firstLine="426"/>
        <w:contextualSpacing/>
        <w:jc w:val="both"/>
        <w:rPr>
          <w:lang w:val="uk-UA"/>
        </w:rPr>
      </w:pPr>
      <w:r w:rsidRPr="00397EDC">
        <w:rPr>
          <w:lang w:val="uk-UA"/>
        </w:rPr>
        <w:t>Україна вперше має перспективу стати членом Європейського союзу, заручившись безпрецедентною підтримкою країн-партнерів. Вперше з часів Другої світової війни погоджена програма ленд-лізу щодо військової підтримки України. Багато аналітиків сходяться у твердженнях, що Україна має великі шанси на перемогу у війні. Тому, не дивлячись на активні бойові дії, Україна вже отримує від міжнародної спільноти пропозиції щодо відновлення економіки і відбудови інфраструктури. На міжнародному рівні обговорюється новий план Маршалла, в якому бажають прийняти участь провідні економіки світу. За деякими оцінками, після війни Україна стане однією з найбільш перспективних країн для інвестицій. Це зумовлено не тільки масовим виходом міжнародних інвесторів з Росії і Білорусі, через введення руйнівних економічних і політичних санкцій, а й потребою відбудови України. Деякі міста будуть побудовані «з нуля». Це дозволить випробувати і застосувати на практиці всі новітні технології у будівництві, логістиці, виробництві, медицині, освіті, технологіях та ін., що є дуже цікавим для інвесторів.</w:t>
      </w:r>
    </w:p>
    <w:p w:rsidR="00397EDC" w:rsidRPr="00397EDC" w:rsidRDefault="00397EDC" w:rsidP="00397EDC">
      <w:pPr>
        <w:shd w:val="clear" w:color="auto" w:fill="FFFFFF"/>
        <w:autoSpaceDE w:val="0"/>
        <w:autoSpaceDN w:val="0"/>
        <w:adjustRightInd w:val="0"/>
        <w:ind w:firstLine="426"/>
        <w:contextualSpacing/>
        <w:jc w:val="both"/>
        <w:rPr>
          <w:lang w:val="uk-UA"/>
        </w:rPr>
      </w:pPr>
      <w:r w:rsidRPr="00397EDC">
        <w:rPr>
          <w:lang w:val="uk-UA"/>
        </w:rPr>
        <w:t>Керівництво компанії вважає, що Товариство зможе продовжувати подальше здійснення фінансово-господарської діяльності відповідно до принципів безперервності діяльності.</w:t>
      </w:r>
    </w:p>
    <w:p w:rsidR="00397EDC" w:rsidRPr="00397EDC" w:rsidRDefault="00397EDC" w:rsidP="00C13B58">
      <w:pPr>
        <w:shd w:val="clear" w:color="auto" w:fill="FFFFFF"/>
        <w:spacing w:line="276" w:lineRule="auto"/>
        <w:ind w:left="567"/>
        <w:rPr>
          <w:lang w:val="uk-UA"/>
        </w:rPr>
      </w:pPr>
    </w:p>
    <w:p w:rsidR="00C13B58" w:rsidRPr="00C13B58" w:rsidRDefault="00C13B58" w:rsidP="00C13B58">
      <w:pPr>
        <w:shd w:val="clear" w:color="auto" w:fill="FFFFFF"/>
        <w:spacing w:line="276" w:lineRule="auto"/>
        <w:ind w:left="567"/>
        <w:rPr>
          <w:b/>
          <w:lang w:val="uk-UA"/>
        </w:rPr>
      </w:pPr>
      <w:r w:rsidRPr="00C13B58">
        <w:rPr>
          <w:b/>
          <w:lang w:val="uk-UA"/>
        </w:rPr>
        <w:t>2.</w:t>
      </w:r>
      <w:r w:rsidR="00211584">
        <w:rPr>
          <w:b/>
          <w:lang w:val="uk-UA"/>
        </w:rPr>
        <w:t>5</w:t>
      </w:r>
      <w:r w:rsidRPr="00C13B58">
        <w:rPr>
          <w:b/>
          <w:lang w:val="uk-UA"/>
        </w:rPr>
        <w:t>. Звітний період  фінансової звітності</w:t>
      </w:r>
    </w:p>
    <w:p w:rsidR="00C13B58" w:rsidRPr="00C13B58" w:rsidRDefault="00C13B58" w:rsidP="00EA7DC6">
      <w:pPr>
        <w:shd w:val="clear" w:color="auto" w:fill="FFFFFF"/>
        <w:ind w:firstLine="567"/>
        <w:jc w:val="both"/>
        <w:rPr>
          <w:lang w:val="uk-UA"/>
        </w:rPr>
      </w:pPr>
      <w:r w:rsidRPr="00C13B58">
        <w:rPr>
          <w:lang w:val="uk-UA"/>
        </w:rPr>
        <w:t>Звітним періодом, за який формується  фінансова звітність, вважається  календарний рік, тобто період з 01 січня по 31 грудня 202</w:t>
      </w:r>
      <w:r w:rsidR="00BB5110" w:rsidRPr="00E430D2">
        <w:rPr>
          <w:lang w:val="uk-UA"/>
        </w:rPr>
        <w:t>1</w:t>
      </w:r>
      <w:r w:rsidRPr="00C13B58">
        <w:rPr>
          <w:lang w:val="uk-UA"/>
        </w:rPr>
        <w:t xml:space="preserve"> року.</w:t>
      </w:r>
    </w:p>
    <w:p w:rsidR="00C13B58" w:rsidRPr="00C13B58" w:rsidRDefault="00C13B58" w:rsidP="00C13B58">
      <w:pPr>
        <w:shd w:val="clear" w:color="auto" w:fill="FFFFFF"/>
        <w:spacing w:line="276" w:lineRule="auto"/>
        <w:ind w:firstLine="567"/>
        <w:rPr>
          <w:lang w:val="uk-UA"/>
        </w:rPr>
      </w:pPr>
    </w:p>
    <w:p w:rsidR="00C13B58" w:rsidRPr="00C13B58" w:rsidRDefault="00C13B58" w:rsidP="00C13B58">
      <w:pPr>
        <w:shd w:val="clear" w:color="auto" w:fill="FFFFFF"/>
        <w:spacing w:line="276" w:lineRule="auto"/>
        <w:ind w:firstLine="567"/>
        <w:rPr>
          <w:b/>
          <w:bCs/>
          <w:spacing w:val="-2"/>
          <w:lang w:val="uk-UA"/>
        </w:rPr>
      </w:pPr>
      <w:r w:rsidRPr="00C13B58">
        <w:rPr>
          <w:b/>
          <w:lang w:val="uk-UA"/>
        </w:rPr>
        <w:t>2</w:t>
      </w:r>
      <w:r w:rsidRPr="00C13B58">
        <w:rPr>
          <w:b/>
          <w:bCs/>
          <w:spacing w:val="-2"/>
          <w:lang w:val="uk-UA"/>
        </w:rPr>
        <w:t>.</w:t>
      </w:r>
      <w:r w:rsidR="00211584">
        <w:rPr>
          <w:b/>
          <w:bCs/>
          <w:spacing w:val="-2"/>
          <w:lang w:val="uk-UA"/>
        </w:rPr>
        <w:t>6</w:t>
      </w:r>
      <w:r w:rsidRPr="00C13B58">
        <w:rPr>
          <w:b/>
          <w:bCs/>
          <w:spacing w:val="-2"/>
          <w:lang w:val="uk-UA"/>
        </w:rPr>
        <w:t>. Порівняльна інформація</w:t>
      </w:r>
    </w:p>
    <w:p w:rsidR="00C13B58" w:rsidRDefault="00C13B58" w:rsidP="00EA7DC6">
      <w:pPr>
        <w:shd w:val="clear" w:color="auto" w:fill="FFFFFF"/>
        <w:ind w:firstLine="567"/>
        <w:jc w:val="both"/>
        <w:rPr>
          <w:bCs/>
          <w:spacing w:val="-2"/>
          <w:lang w:val="uk-UA"/>
        </w:rPr>
      </w:pPr>
      <w:r w:rsidRPr="00C13B58">
        <w:rPr>
          <w:bCs/>
          <w:spacing w:val="-2"/>
          <w:lang w:val="uk-UA"/>
        </w:rPr>
        <w:t xml:space="preserve">Товариство розкриває інформацію стосовно  попереднього періоду щодо всіх сум, наведених у фінансовій звітності поточного періоду, крім випадків, коли МСФЗ дозволяють чи вимагають інше. </w:t>
      </w:r>
    </w:p>
    <w:p w:rsidR="00C13B58" w:rsidRPr="00C13B58" w:rsidRDefault="00C13B58" w:rsidP="00C13B58">
      <w:pPr>
        <w:shd w:val="clear" w:color="auto" w:fill="FFFFFF"/>
        <w:spacing w:line="276" w:lineRule="auto"/>
        <w:ind w:firstLine="567"/>
        <w:jc w:val="both"/>
        <w:rPr>
          <w:bCs/>
          <w:spacing w:val="-2"/>
          <w:lang w:val="uk-UA"/>
        </w:rPr>
      </w:pPr>
    </w:p>
    <w:p w:rsidR="00C13B58" w:rsidRPr="00C13B58" w:rsidRDefault="00C13B58" w:rsidP="00C13B58">
      <w:pPr>
        <w:shd w:val="clear" w:color="auto" w:fill="FFFFFF"/>
        <w:spacing w:line="276" w:lineRule="auto"/>
        <w:ind w:firstLine="567"/>
        <w:rPr>
          <w:b/>
          <w:lang w:val="uk-UA"/>
        </w:rPr>
      </w:pPr>
      <w:r w:rsidRPr="00C13B58">
        <w:rPr>
          <w:b/>
          <w:lang w:val="uk-UA"/>
        </w:rPr>
        <w:t>2.</w:t>
      </w:r>
      <w:r w:rsidR="00211584">
        <w:rPr>
          <w:b/>
          <w:lang w:val="uk-UA"/>
        </w:rPr>
        <w:t>7</w:t>
      </w:r>
      <w:r w:rsidRPr="00C13B58">
        <w:rPr>
          <w:b/>
          <w:lang w:val="uk-UA"/>
        </w:rPr>
        <w:t>. Валюта подання звітності та функціональна валюта, ступінь округлення</w:t>
      </w:r>
    </w:p>
    <w:p w:rsidR="00C13B58" w:rsidRDefault="00C13B58" w:rsidP="00EA7DC6">
      <w:pPr>
        <w:shd w:val="clear" w:color="auto" w:fill="FFFFFF"/>
        <w:ind w:firstLine="567"/>
        <w:jc w:val="both"/>
        <w:rPr>
          <w:lang w:val="uk-UA"/>
        </w:rPr>
      </w:pPr>
      <w:r w:rsidRPr="00C13B58">
        <w:rPr>
          <w:lang w:val="uk-UA"/>
        </w:rPr>
        <w:t>Валюта подання звітності відповідає функціональній валюті, якою є національна валюта України – гривня, складена у тисячах гривень, округлених до цілих тисяч.</w:t>
      </w:r>
    </w:p>
    <w:p w:rsidR="00C13B58" w:rsidRPr="00C13B58" w:rsidRDefault="00C13B58" w:rsidP="00C13B58">
      <w:pPr>
        <w:shd w:val="clear" w:color="auto" w:fill="FFFFFF"/>
        <w:spacing w:line="276" w:lineRule="auto"/>
        <w:ind w:firstLine="567"/>
        <w:jc w:val="both"/>
        <w:rPr>
          <w:lang w:val="uk-UA"/>
        </w:rPr>
      </w:pPr>
    </w:p>
    <w:p w:rsidR="00C13B58" w:rsidRPr="00C13B58" w:rsidRDefault="00C13B58" w:rsidP="00C13B58">
      <w:pPr>
        <w:shd w:val="clear" w:color="auto" w:fill="FFFFFF"/>
        <w:spacing w:line="276" w:lineRule="auto"/>
        <w:ind w:firstLine="567"/>
        <w:rPr>
          <w:b/>
          <w:lang w:val="uk-UA"/>
        </w:rPr>
      </w:pPr>
      <w:r w:rsidRPr="00C13B58">
        <w:rPr>
          <w:b/>
          <w:bCs/>
          <w:spacing w:val="-2"/>
          <w:lang w:val="uk-UA"/>
        </w:rPr>
        <w:t>2</w:t>
      </w:r>
      <w:r w:rsidRPr="00C13B58">
        <w:rPr>
          <w:b/>
          <w:lang w:val="uk-UA"/>
        </w:rPr>
        <w:t>.</w:t>
      </w:r>
      <w:r w:rsidR="00211584">
        <w:rPr>
          <w:b/>
          <w:lang w:val="uk-UA"/>
        </w:rPr>
        <w:t>8</w:t>
      </w:r>
      <w:r w:rsidRPr="00C13B58">
        <w:rPr>
          <w:b/>
          <w:lang w:val="uk-UA"/>
        </w:rPr>
        <w:t xml:space="preserve">. </w:t>
      </w:r>
      <w:r w:rsidR="00FD2406" w:rsidRPr="00DD57A1">
        <w:rPr>
          <w:b/>
          <w:lang w:val="uk-UA"/>
        </w:rPr>
        <w:t>Економічне середовище, в умовах якого Товариство здійснює свою діяльність</w:t>
      </w:r>
    </w:p>
    <w:p w:rsidR="00FD2406" w:rsidRPr="005B0089" w:rsidRDefault="00FD2406" w:rsidP="00EA7DC6">
      <w:pPr>
        <w:ind w:firstLine="567"/>
        <w:jc w:val="both"/>
        <w:rPr>
          <w:lang w:val="uk-UA"/>
        </w:rPr>
      </w:pPr>
      <w:r w:rsidRPr="006E4AFC">
        <w:rPr>
          <w:lang w:val="uk-UA"/>
        </w:rPr>
        <w:t>Незважаючи</w:t>
      </w:r>
      <w:r w:rsidRPr="00DD57A1">
        <w:rPr>
          <w:lang w:val="uk-UA"/>
        </w:rPr>
        <w:t xml:space="preserve"> </w:t>
      </w:r>
      <w:r w:rsidRPr="006E4AFC">
        <w:rPr>
          <w:lang w:val="uk-UA"/>
        </w:rPr>
        <w:t>на</w:t>
      </w:r>
      <w:r w:rsidRPr="00DD57A1">
        <w:rPr>
          <w:lang w:val="uk-UA"/>
        </w:rPr>
        <w:t xml:space="preserve"> </w:t>
      </w:r>
      <w:r w:rsidRPr="006E4AFC">
        <w:rPr>
          <w:lang w:val="uk-UA"/>
        </w:rPr>
        <w:t>стабілізаційні</w:t>
      </w:r>
      <w:r w:rsidRPr="00DD57A1">
        <w:rPr>
          <w:lang w:val="uk-UA"/>
        </w:rPr>
        <w:t xml:space="preserve"> </w:t>
      </w:r>
      <w:r w:rsidRPr="006E4AFC">
        <w:rPr>
          <w:lang w:val="uk-UA"/>
        </w:rPr>
        <w:t>заходи, що вживаються</w:t>
      </w:r>
      <w:r w:rsidRPr="00DD57A1">
        <w:rPr>
          <w:lang w:val="uk-UA"/>
        </w:rPr>
        <w:t xml:space="preserve"> </w:t>
      </w:r>
      <w:r w:rsidRPr="006E4AFC">
        <w:rPr>
          <w:lang w:val="uk-UA"/>
        </w:rPr>
        <w:t>Урядом</w:t>
      </w:r>
      <w:r w:rsidRPr="00DD57A1">
        <w:rPr>
          <w:lang w:val="uk-UA"/>
        </w:rPr>
        <w:t xml:space="preserve"> </w:t>
      </w:r>
      <w:r w:rsidRPr="006E4AFC">
        <w:rPr>
          <w:lang w:val="uk-UA"/>
        </w:rPr>
        <w:t>України</w:t>
      </w:r>
      <w:r w:rsidRPr="00DD57A1">
        <w:rPr>
          <w:lang w:val="uk-UA"/>
        </w:rPr>
        <w:t xml:space="preserve"> </w:t>
      </w:r>
      <w:r w:rsidRPr="006E4AFC">
        <w:rPr>
          <w:lang w:val="uk-UA"/>
        </w:rPr>
        <w:t>з метою підтримки</w:t>
      </w:r>
      <w:r w:rsidRPr="00DD57A1">
        <w:rPr>
          <w:lang w:val="uk-UA"/>
        </w:rPr>
        <w:t xml:space="preserve"> </w:t>
      </w:r>
      <w:r w:rsidRPr="006E4AFC">
        <w:rPr>
          <w:lang w:val="uk-UA"/>
        </w:rPr>
        <w:t>банківського сектора</w:t>
      </w:r>
      <w:r w:rsidRPr="00DD57A1">
        <w:rPr>
          <w:lang w:val="uk-UA"/>
        </w:rPr>
        <w:t xml:space="preserve"> </w:t>
      </w:r>
      <w:r w:rsidRPr="006E4AFC">
        <w:rPr>
          <w:lang w:val="uk-UA"/>
        </w:rPr>
        <w:t>і</w:t>
      </w:r>
      <w:r w:rsidRPr="00DD57A1">
        <w:rPr>
          <w:lang w:val="uk-UA"/>
        </w:rPr>
        <w:t xml:space="preserve"> </w:t>
      </w:r>
      <w:r w:rsidRPr="006E4AFC">
        <w:rPr>
          <w:lang w:val="uk-UA"/>
        </w:rPr>
        <w:t>забезпечення ліквідності українських банків</w:t>
      </w:r>
      <w:r w:rsidRPr="00DD57A1">
        <w:rPr>
          <w:lang w:val="uk-UA"/>
        </w:rPr>
        <w:t xml:space="preserve"> </w:t>
      </w:r>
      <w:r w:rsidRPr="006E4AFC">
        <w:rPr>
          <w:lang w:val="uk-UA"/>
        </w:rPr>
        <w:t>і</w:t>
      </w:r>
      <w:r w:rsidRPr="00DD57A1">
        <w:rPr>
          <w:lang w:val="uk-UA"/>
        </w:rPr>
        <w:t xml:space="preserve"> </w:t>
      </w:r>
      <w:r w:rsidRPr="006E4AFC">
        <w:rPr>
          <w:lang w:val="uk-UA"/>
        </w:rPr>
        <w:t>компаній</w:t>
      </w:r>
      <w:r w:rsidRPr="00DD57A1">
        <w:rPr>
          <w:lang w:val="uk-UA"/>
        </w:rPr>
        <w:t xml:space="preserve">, </w:t>
      </w:r>
      <w:r w:rsidRPr="006E4AFC">
        <w:rPr>
          <w:lang w:val="uk-UA"/>
        </w:rPr>
        <w:t>існує невизначеність щодо</w:t>
      </w:r>
      <w:r w:rsidRPr="00DD57A1">
        <w:rPr>
          <w:lang w:val="uk-UA"/>
        </w:rPr>
        <w:t xml:space="preserve"> </w:t>
      </w:r>
      <w:r w:rsidRPr="006E4AFC">
        <w:rPr>
          <w:lang w:val="uk-UA"/>
        </w:rPr>
        <w:t>можливості</w:t>
      </w:r>
      <w:r w:rsidRPr="00DD57A1">
        <w:rPr>
          <w:lang w:val="uk-UA"/>
        </w:rPr>
        <w:t xml:space="preserve"> </w:t>
      </w:r>
      <w:r w:rsidRPr="006E4AFC">
        <w:rPr>
          <w:lang w:val="uk-UA"/>
        </w:rPr>
        <w:t>доступу до джерел</w:t>
      </w:r>
      <w:r w:rsidRPr="00DD57A1">
        <w:rPr>
          <w:lang w:val="uk-UA"/>
        </w:rPr>
        <w:t xml:space="preserve"> </w:t>
      </w:r>
      <w:r w:rsidRPr="006E4AFC">
        <w:rPr>
          <w:lang w:val="uk-UA"/>
        </w:rPr>
        <w:t>капіталу</w:t>
      </w:r>
      <w:r w:rsidRPr="00DD57A1">
        <w:rPr>
          <w:lang w:val="uk-UA"/>
        </w:rPr>
        <w:t xml:space="preserve">, </w:t>
      </w:r>
      <w:r w:rsidRPr="006E4AFC">
        <w:rPr>
          <w:lang w:val="uk-UA"/>
        </w:rPr>
        <w:t>а</w:t>
      </w:r>
      <w:r w:rsidRPr="00DD57A1">
        <w:rPr>
          <w:lang w:val="uk-UA"/>
        </w:rPr>
        <w:t xml:space="preserve"> </w:t>
      </w:r>
      <w:r w:rsidRPr="006E4AFC">
        <w:rPr>
          <w:lang w:val="uk-UA"/>
        </w:rPr>
        <w:t>також</w:t>
      </w:r>
      <w:r w:rsidRPr="00DD57A1">
        <w:rPr>
          <w:lang w:val="uk-UA"/>
        </w:rPr>
        <w:t xml:space="preserve"> </w:t>
      </w:r>
      <w:r w:rsidRPr="006E4AFC">
        <w:rPr>
          <w:lang w:val="uk-UA"/>
        </w:rPr>
        <w:t>вартості</w:t>
      </w:r>
      <w:r w:rsidRPr="00DD57A1">
        <w:rPr>
          <w:lang w:val="uk-UA"/>
        </w:rPr>
        <w:t xml:space="preserve"> </w:t>
      </w:r>
      <w:r w:rsidRPr="006E4AFC">
        <w:rPr>
          <w:lang w:val="uk-UA"/>
        </w:rPr>
        <w:t>капіталу</w:t>
      </w:r>
      <w:r w:rsidRPr="00DD57A1">
        <w:rPr>
          <w:lang w:val="uk-UA"/>
        </w:rPr>
        <w:t xml:space="preserve"> </w:t>
      </w:r>
      <w:r w:rsidRPr="006E4AFC">
        <w:rPr>
          <w:lang w:val="uk-UA"/>
        </w:rPr>
        <w:t>для</w:t>
      </w:r>
      <w:r w:rsidRPr="00DD57A1">
        <w:rPr>
          <w:lang w:val="uk-UA"/>
        </w:rPr>
        <w:t xml:space="preserve"> </w:t>
      </w:r>
      <w:r w:rsidRPr="006E4AFC">
        <w:rPr>
          <w:lang w:val="uk-UA"/>
        </w:rPr>
        <w:t>Ломбарду та</w:t>
      </w:r>
      <w:r w:rsidRPr="00DD57A1">
        <w:rPr>
          <w:lang w:val="uk-UA"/>
        </w:rPr>
        <w:t xml:space="preserve"> </w:t>
      </w:r>
      <w:r w:rsidRPr="006E4AFC">
        <w:rPr>
          <w:lang w:val="uk-UA"/>
        </w:rPr>
        <w:t>її</w:t>
      </w:r>
      <w:r w:rsidRPr="00DD57A1">
        <w:rPr>
          <w:lang w:val="uk-UA"/>
        </w:rPr>
        <w:t xml:space="preserve"> </w:t>
      </w:r>
      <w:r w:rsidRPr="006E4AFC">
        <w:rPr>
          <w:lang w:val="uk-UA"/>
        </w:rPr>
        <w:t>контрагентів</w:t>
      </w:r>
      <w:r w:rsidRPr="00DD57A1">
        <w:rPr>
          <w:lang w:val="uk-UA"/>
        </w:rPr>
        <w:t xml:space="preserve">, </w:t>
      </w:r>
      <w:r w:rsidRPr="006E4AFC">
        <w:rPr>
          <w:lang w:val="uk-UA"/>
        </w:rPr>
        <w:t>що</w:t>
      </w:r>
      <w:r w:rsidRPr="00DD57A1">
        <w:rPr>
          <w:lang w:val="uk-UA"/>
        </w:rPr>
        <w:t xml:space="preserve"> </w:t>
      </w:r>
      <w:r w:rsidRPr="006E4AFC">
        <w:rPr>
          <w:lang w:val="uk-UA"/>
        </w:rPr>
        <w:t>може</w:t>
      </w:r>
      <w:r w:rsidRPr="00DD57A1">
        <w:rPr>
          <w:lang w:val="uk-UA"/>
        </w:rPr>
        <w:t xml:space="preserve"> </w:t>
      </w:r>
      <w:r w:rsidRPr="006E4AFC">
        <w:rPr>
          <w:lang w:val="uk-UA"/>
        </w:rPr>
        <w:t>вплинути на фінансовий стан</w:t>
      </w:r>
      <w:r w:rsidRPr="00DD57A1">
        <w:rPr>
          <w:lang w:val="uk-UA"/>
        </w:rPr>
        <w:t xml:space="preserve">, </w:t>
      </w:r>
      <w:r w:rsidRPr="006E4AFC">
        <w:rPr>
          <w:lang w:val="uk-UA"/>
        </w:rPr>
        <w:t>результати</w:t>
      </w:r>
      <w:r w:rsidRPr="00DD57A1">
        <w:rPr>
          <w:lang w:val="uk-UA"/>
        </w:rPr>
        <w:t xml:space="preserve"> </w:t>
      </w:r>
      <w:r w:rsidRPr="006E4AFC">
        <w:rPr>
          <w:lang w:val="uk-UA"/>
        </w:rPr>
        <w:t>діяльності</w:t>
      </w:r>
      <w:r w:rsidRPr="00DD57A1">
        <w:rPr>
          <w:lang w:val="uk-UA"/>
        </w:rPr>
        <w:t xml:space="preserve"> </w:t>
      </w:r>
      <w:r w:rsidRPr="006E4AFC">
        <w:rPr>
          <w:lang w:val="uk-UA"/>
        </w:rPr>
        <w:t>та</w:t>
      </w:r>
      <w:r w:rsidRPr="00DD57A1">
        <w:rPr>
          <w:lang w:val="uk-UA"/>
        </w:rPr>
        <w:t xml:space="preserve"> </w:t>
      </w:r>
      <w:r w:rsidRPr="006E4AFC">
        <w:rPr>
          <w:lang w:val="uk-UA"/>
        </w:rPr>
        <w:t>економічні перспективи</w:t>
      </w:r>
      <w:r w:rsidRPr="00DD57A1">
        <w:rPr>
          <w:lang w:val="uk-UA"/>
        </w:rPr>
        <w:t xml:space="preserve"> </w:t>
      </w:r>
      <w:r w:rsidRPr="006E4AFC">
        <w:rPr>
          <w:lang w:val="uk-UA"/>
        </w:rPr>
        <w:t>Ломбарду</w:t>
      </w:r>
      <w:r w:rsidRPr="00DD57A1">
        <w:rPr>
          <w:lang w:val="uk-UA"/>
        </w:rPr>
        <w:t xml:space="preserve">. </w:t>
      </w:r>
    </w:p>
    <w:p w:rsidR="00FD2406" w:rsidRPr="00C13B58" w:rsidRDefault="00FD2406" w:rsidP="00EA7DC6">
      <w:pPr>
        <w:ind w:firstLine="567"/>
        <w:jc w:val="both"/>
        <w:rPr>
          <w:lang w:val="uk-UA"/>
        </w:rPr>
      </w:pPr>
      <w:r w:rsidRPr="00C13B58">
        <w:rPr>
          <w:lang w:val="uk-UA"/>
        </w:rPr>
        <w:t>Попри те, що економіка України вважається ринковою, вона продовжує демонструвати певні особливості, властиві економіці, що розвивається. Такі особливості  характеризуються, але не обмежуються, низьким рівнем ліквідності на ринках капіталу, високою інфляцією та значним дефіцитом балансу державних фінансів та зовнішньої торгівлі. Нинішня політична та економічна ситуація в Україні залишається нестабільною. Україна продовжує обмежувати свої політичні та економічні зв’язки із Росією, беручи до уваги анексію Криму, а також збройний конфлікт у деяких районах Луганської та Донецької областей. В результаті цього українська економіка продовжує переорієнтовуватись на ринок Європейського Союзу.</w:t>
      </w:r>
    </w:p>
    <w:p w:rsidR="00FD2406" w:rsidRPr="00DD57A1" w:rsidRDefault="00FD2406" w:rsidP="00EA7DC6">
      <w:pPr>
        <w:ind w:firstLine="567"/>
        <w:jc w:val="both"/>
        <w:rPr>
          <w:lang w:val="uk-UA"/>
        </w:rPr>
      </w:pPr>
      <w:r w:rsidRPr="005B0089">
        <w:rPr>
          <w:lang w:val="uk-UA"/>
        </w:rPr>
        <w:t xml:space="preserve">Стабілізація економіки значною мірою знаходиться в залежності від успішності дій уряду України, разом з тим, подальший розвиток політичної ситуації на разі неможливо передбачити. </w:t>
      </w:r>
    </w:p>
    <w:p w:rsidR="00C13B58" w:rsidRPr="00C13B58" w:rsidRDefault="00C13B58" w:rsidP="00EA7DC6">
      <w:pPr>
        <w:ind w:firstLine="567"/>
        <w:jc w:val="both"/>
        <w:rPr>
          <w:lang w:val="uk-UA"/>
        </w:rPr>
      </w:pPr>
      <w:r w:rsidRPr="002E7A3B">
        <w:rPr>
          <w:lang w:val="uk-UA"/>
        </w:rPr>
        <w:t>Крім цього, на початку 202</w:t>
      </w:r>
      <w:r w:rsidR="002E7A3B" w:rsidRPr="002E7A3B">
        <w:rPr>
          <w:lang w:val="uk-UA"/>
        </w:rPr>
        <w:t>0</w:t>
      </w:r>
      <w:r w:rsidRPr="002E7A3B">
        <w:rPr>
          <w:lang w:val="uk-UA"/>
        </w:rPr>
        <w:t xml:space="preserve"> року у світі став швидко поширюватися новий коронавірус (COVID-19), що призвело до того, що Всесвітня організація охорони здоров’я («ВООЗ») у березні 2020 року оголосила про початок</w:t>
      </w:r>
      <w:r w:rsidRPr="00C13B58">
        <w:rPr>
          <w:lang w:val="uk-UA"/>
        </w:rPr>
        <w:t xml:space="preserve"> пандемії. Заходи, які вживають багато країн для стримування поширення COVID-19, призводять до значних операційних складнощів для багатьох компаній і завдають істотного впливу на світові фінансові ринки. COVID-19 істотно впливає на діяльність багатьох компаній у різних секторах економіки, включно, але не обмежуючись, порушенням операційної діяльності у результаті призупинення або закриття виробництва, порушенням ланцюгів постачань, карантином персоналу, зниженням попиту та труднощами з отриманням фінансування. </w:t>
      </w:r>
    </w:p>
    <w:p w:rsidR="00C13B58" w:rsidRPr="00C13B58" w:rsidRDefault="00C13B58" w:rsidP="00EA7DC6">
      <w:pPr>
        <w:ind w:firstLine="567"/>
        <w:jc w:val="both"/>
        <w:rPr>
          <w:lang w:val="uk-UA"/>
        </w:rPr>
      </w:pPr>
      <w:r w:rsidRPr="00C13B58">
        <w:rPr>
          <w:lang w:val="uk-UA"/>
        </w:rPr>
        <w:t>Істотність впливу COVID-19 на операційну діяльність Товариства великою мірою залежить від тривалості та поширення впливу вірусу на світову та українську економіку. В подальшому, найбільший вплив на Товариство може мати невизначеність, результат якої залежить від майбутніх подій, що не є під безпосереднім контролем Товариства, але які можуть впливати на його фінансові звіти в майбутньому. При цьому, Товариство має значний запас ліквідності та капіталу для забезпечення своєчасного розрахунку за всіма зобов’язаннями, у тому числі, в умовах можливого посилення загострення ситуації щодо поширення COVID-19 та її впливу на соціально-економічне становище в країні.</w:t>
      </w:r>
    </w:p>
    <w:p w:rsidR="00C13B58" w:rsidRPr="00C13B58" w:rsidRDefault="00C13B58" w:rsidP="00EA7DC6">
      <w:pPr>
        <w:ind w:firstLine="567"/>
        <w:jc w:val="both"/>
        <w:rPr>
          <w:lang w:val="uk-UA"/>
        </w:rPr>
      </w:pPr>
      <w:r w:rsidRPr="00C13B58">
        <w:rPr>
          <w:lang w:val="uk-UA"/>
        </w:rPr>
        <w:t>Також ризиком для макрофінансової стабільності, як і раніше, є ескалація військового конфлікту на сході країни,  збільшення волатильності світових цін на продукти харчування з огляду на глобальні зміни клімату, зменшення обсягів припливу іноземного капіталу. Реалізація цих ризиків може погіршити курсові й інфляційні очікування та ускладнити доступ до міжнародних ринків капіталу в умовах необхідності здійснення пікових боргових виплат.</w:t>
      </w:r>
    </w:p>
    <w:p w:rsidR="00C13B58" w:rsidRDefault="00FD2406" w:rsidP="00EA7DC6">
      <w:pPr>
        <w:shd w:val="clear" w:color="auto" w:fill="FFFFFF"/>
        <w:jc w:val="both"/>
        <w:rPr>
          <w:lang w:val="uk-UA"/>
        </w:rPr>
      </w:pPr>
      <w:r>
        <w:rPr>
          <w:lang w:val="uk-UA"/>
        </w:rPr>
        <w:tab/>
      </w:r>
      <w:r w:rsidR="00C13B58" w:rsidRPr="00C13B58">
        <w:rPr>
          <w:lang w:val="uk-UA"/>
        </w:rPr>
        <w:t>Керівництво вважає, що вживає належні заходи для підтримки стабільної діяльності Товариства, необхідні за існуючих обставин, хоча подальша нестабільність ситуації у діловому середовищі може спричинити негативний вплив на результати діяльності та фінансовий стан Товариства, характер та наслідки якого на поточний момент визначити неможливо. Ця фінансова звітність відображає поточну оцінку керівництва щодо впливу умов здійснення діяльності в Україні на операційну діяльність та фінансовий стан Товариства. Майбутні умови здійснення діяльності можуть відрізнятися від оцінок керівництва.</w:t>
      </w:r>
    </w:p>
    <w:p w:rsidR="00397EDC" w:rsidRPr="00397EDC" w:rsidRDefault="00397EDC" w:rsidP="00397EDC">
      <w:pPr>
        <w:ind w:firstLine="426"/>
        <w:contextualSpacing/>
        <w:jc w:val="both"/>
        <w:rPr>
          <w:lang w:val="uk-UA"/>
        </w:rPr>
      </w:pPr>
      <w:r w:rsidRPr="00397EDC">
        <w:rPr>
          <w:lang w:val="uk-UA"/>
        </w:rPr>
        <w:t>Майбутній економічний розвиток України, в тому числі у сфері інвестицій залежить від зовнішніх факторів та заходів внутрішнього характеру, що будуть вжиті Урядом для підтримки зростання економічних показників, та внесення змін до податкової та іншої нормативної бази.</w:t>
      </w:r>
    </w:p>
    <w:p w:rsidR="00397EDC" w:rsidRPr="00397EDC" w:rsidRDefault="00397EDC" w:rsidP="00397EDC">
      <w:pPr>
        <w:rPr>
          <w:lang w:val="uk-UA"/>
        </w:rPr>
      </w:pPr>
      <w:r w:rsidRPr="00397EDC">
        <w:rPr>
          <w:lang w:val="uk-UA"/>
        </w:rPr>
        <w:t>Керівництво компанії вважає, що Товариство вживає всі необхідні заходи для підтримки та стабільного розвитку діяльності Товариства в сучасних умовах, які склалися в економіці України</w:t>
      </w:r>
    </w:p>
    <w:p w:rsidR="00397EDC" w:rsidRPr="00C13B58" w:rsidRDefault="00397EDC" w:rsidP="00EA7DC6">
      <w:pPr>
        <w:shd w:val="clear" w:color="auto" w:fill="FFFFFF"/>
        <w:jc w:val="both"/>
        <w:rPr>
          <w:lang w:val="uk-UA"/>
        </w:rPr>
      </w:pPr>
    </w:p>
    <w:p w:rsidR="00C13B58" w:rsidRPr="00C13B58" w:rsidRDefault="00C13B58" w:rsidP="00C13B58">
      <w:pPr>
        <w:shd w:val="clear" w:color="auto" w:fill="FFFFFF"/>
        <w:spacing w:line="276" w:lineRule="auto"/>
        <w:ind w:firstLine="567"/>
        <w:jc w:val="both"/>
        <w:rPr>
          <w:lang w:val="uk-UA"/>
        </w:rPr>
      </w:pPr>
    </w:p>
    <w:p w:rsidR="002E4AFB" w:rsidRDefault="002E4AFB" w:rsidP="00C429BC">
      <w:pPr>
        <w:autoSpaceDE w:val="0"/>
        <w:ind w:firstLine="540"/>
        <w:jc w:val="both"/>
        <w:rPr>
          <w:b/>
          <w:bCs/>
          <w:lang w:val="uk-UA"/>
        </w:rPr>
      </w:pPr>
      <w:r w:rsidRPr="00DD57A1">
        <w:rPr>
          <w:b/>
          <w:bCs/>
          <w:lang w:val="uk-UA"/>
        </w:rPr>
        <w:t>3. Облікова політика</w:t>
      </w:r>
    </w:p>
    <w:p w:rsidR="000D68A7" w:rsidRPr="00DD57A1" w:rsidRDefault="000D68A7" w:rsidP="00C429BC">
      <w:pPr>
        <w:autoSpaceDE w:val="0"/>
        <w:ind w:firstLine="540"/>
        <w:jc w:val="both"/>
        <w:rPr>
          <w:b/>
          <w:bCs/>
          <w:lang w:val="uk-UA"/>
        </w:rPr>
      </w:pPr>
    </w:p>
    <w:p w:rsidR="004014E6" w:rsidRDefault="002E4AFB" w:rsidP="00C429BC">
      <w:pPr>
        <w:autoSpaceDE w:val="0"/>
        <w:ind w:firstLine="540"/>
        <w:jc w:val="both"/>
        <w:rPr>
          <w:b/>
          <w:bCs/>
          <w:lang w:val="uk-UA"/>
        </w:rPr>
      </w:pPr>
      <w:r w:rsidRPr="00DD57A1">
        <w:rPr>
          <w:b/>
          <w:bCs/>
          <w:lang w:val="uk-UA"/>
        </w:rPr>
        <w:t>3.1. Концептуальна основа</w:t>
      </w:r>
    </w:p>
    <w:p w:rsidR="002E4AFB" w:rsidRPr="00DD57A1" w:rsidRDefault="002E4AFB" w:rsidP="00EA7DC6">
      <w:pPr>
        <w:autoSpaceDE w:val="0"/>
        <w:ind w:firstLine="539"/>
        <w:jc w:val="both"/>
        <w:rPr>
          <w:rFonts w:eastAsia="Franklin Gothic Medium Cond"/>
          <w:color w:val="000000"/>
          <w:lang w:val="uk-UA"/>
        </w:rPr>
      </w:pPr>
      <w:r w:rsidRPr="00DD57A1">
        <w:rPr>
          <w:rFonts w:eastAsia="Franklin Gothic Medium Cond"/>
          <w:color w:val="000000"/>
          <w:lang w:val="uk-UA"/>
        </w:rPr>
        <w:t xml:space="preserve">Дана фінансова звітність була підготовлена на основі припущення, що </w:t>
      </w:r>
      <w:r w:rsidR="000F45ED" w:rsidRPr="00DD57A1">
        <w:rPr>
          <w:lang w:val="uk-UA"/>
        </w:rPr>
        <w:t>Компанія</w:t>
      </w:r>
      <w:r w:rsidRPr="00DD57A1">
        <w:rPr>
          <w:rFonts w:eastAsia="Franklin Gothic Medium Cond"/>
          <w:color w:val="000000"/>
          <w:lang w:val="uk-UA"/>
        </w:rPr>
        <w:t xml:space="preserve"> </w:t>
      </w:r>
      <w:r w:rsidR="00C40CF9" w:rsidRPr="00DD57A1">
        <w:rPr>
          <w:rFonts w:eastAsia="Franklin Gothic Medium Cond"/>
          <w:color w:val="000000"/>
          <w:lang w:val="uk-UA"/>
        </w:rPr>
        <w:t xml:space="preserve"> </w:t>
      </w:r>
      <w:r w:rsidRPr="00DD57A1">
        <w:rPr>
          <w:rFonts w:eastAsia="Franklin Gothic Medium Cond"/>
          <w:color w:val="000000"/>
          <w:lang w:val="uk-UA"/>
        </w:rPr>
        <w:t>розп</w:t>
      </w:r>
      <w:r w:rsidR="00C40CF9" w:rsidRPr="00DD57A1">
        <w:rPr>
          <w:rFonts w:eastAsia="Franklin Gothic Medium Cond"/>
          <w:color w:val="000000"/>
          <w:lang w:val="uk-UA"/>
        </w:rPr>
        <w:t>о</w:t>
      </w:r>
      <w:r w:rsidR="00E64844">
        <w:rPr>
          <w:rFonts w:eastAsia="Franklin Gothic Medium Cond"/>
          <w:color w:val="000000"/>
          <w:lang w:val="uk-UA"/>
        </w:rPr>
        <w:t>чал</w:t>
      </w:r>
      <w:r w:rsidR="000F45ED">
        <w:rPr>
          <w:rFonts w:eastAsia="Franklin Gothic Medium Cond"/>
          <w:color w:val="000000"/>
          <w:lang w:val="uk-UA"/>
        </w:rPr>
        <w:t>а</w:t>
      </w:r>
      <w:r w:rsidRPr="00DD57A1">
        <w:rPr>
          <w:rFonts w:eastAsia="Franklin Gothic Medium Cond"/>
          <w:color w:val="000000"/>
          <w:lang w:val="uk-UA"/>
        </w:rPr>
        <w:t xml:space="preserve"> й буде здатн</w:t>
      </w:r>
      <w:r w:rsidR="000F45ED">
        <w:rPr>
          <w:rFonts w:eastAsia="Franklin Gothic Medium Cond"/>
          <w:color w:val="000000"/>
          <w:lang w:val="uk-UA"/>
        </w:rPr>
        <w:t>а</w:t>
      </w:r>
      <w:r w:rsidRPr="00DD57A1">
        <w:rPr>
          <w:rFonts w:eastAsia="Franklin Gothic Medium Cond"/>
          <w:color w:val="000000"/>
          <w:lang w:val="uk-UA"/>
        </w:rPr>
        <w:t xml:space="preserve"> продовжувати свою діяльність на безперервній основі у найближчому майбутньому.</w:t>
      </w:r>
      <w:r w:rsidRPr="00DD57A1">
        <w:rPr>
          <w:rFonts w:eastAsia="Franklin Gothic Medium Cond"/>
          <w:b/>
          <w:bCs/>
          <w:color w:val="000000"/>
          <w:lang w:val="uk-UA"/>
        </w:rPr>
        <w:t xml:space="preserve"> </w:t>
      </w:r>
    </w:p>
    <w:p w:rsidR="002E4AFB" w:rsidRPr="00DD57A1" w:rsidRDefault="002E4AFB" w:rsidP="00EA7DC6">
      <w:pPr>
        <w:autoSpaceDE w:val="0"/>
        <w:ind w:firstLine="539"/>
        <w:jc w:val="both"/>
        <w:rPr>
          <w:lang w:val="uk-UA"/>
        </w:rPr>
      </w:pPr>
      <w:r w:rsidRPr="00DD57A1">
        <w:rPr>
          <w:rFonts w:eastAsia="Franklin Gothic Medium Cond"/>
          <w:color w:val="000000"/>
          <w:lang w:val="uk-UA"/>
        </w:rPr>
        <w:t xml:space="preserve">На думку керівництва, застосування припущення щодо здатності </w:t>
      </w:r>
      <w:r w:rsidR="000F45ED">
        <w:rPr>
          <w:lang w:val="uk-UA"/>
        </w:rPr>
        <w:t>Компанії</w:t>
      </w:r>
      <w:r w:rsidRPr="00DD57A1">
        <w:rPr>
          <w:rFonts w:eastAsia="Franklin Gothic Medium Cond"/>
          <w:color w:val="000000"/>
          <w:lang w:val="uk-UA"/>
        </w:rPr>
        <w:t xml:space="preserve"> продовжувати свою діяльність на безперервній основі є прийнятним, враховуючи належний рівень достатності капіталу. </w:t>
      </w:r>
    </w:p>
    <w:p w:rsidR="002E4AFB" w:rsidRPr="00DD57A1" w:rsidRDefault="000F45ED" w:rsidP="00EA7DC6">
      <w:pPr>
        <w:pStyle w:val="Default"/>
        <w:ind w:firstLine="539"/>
        <w:jc w:val="both"/>
        <w:rPr>
          <w:lang w:val="uk-UA"/>
        </w:rPr>
      </w:pPr>
      <w:r w:rsidRPr="00DD57A1">
        <w:rPr>
          <w:lang w:val="uk-UA"/>
        </w:rPr>
        <w:t>Компанія</w:t>
      </w:r>
      <w:r w:rsidR="002E4AFB" w:rsidRPr="00DD57A1">
        <w:rPr>
          <w:lang w:val="uk-UA"/>
        </w:rPr>
        <w:t xml:space="preserve"> веде свій бухгалтерський облік згідно з українським законодавством. Дана фінансова звітність була підготовлена на основі бухгалтерських записів, які ведуться у відповідності до нормативно-правових актів України. </w:t>
      </w:r>
    </w:p>
    <w:p w:rsidR="002E4AFB" w:rsidRDefault="005770D0" w:rsidP="00EA7DC6">
      <w:pPr>
        <w:ind w:firstLine="539"/>
        <w:jc w:val="both"/>
        <w:rPr>
          <w:lang w:val="uk-UA"/>
        </w:rPr>
      </w:pPr>
      <w:r w:rsidRPr="00DD57A1">
        <w:rPr>
          <w:lang w:val="uk-UA"/>
        </w:rPr>
        <w:t xml:space="preserve">Фінансова звітність </w:t>
      </w:r>
      <w:r>
        <w:rPr>
          <w:lang w:val="uk-UA"/>
        </w:rPr>
        <w:t>Компанії</w:t>
      </w:r>
      <w:r w:rsidRPr="00DD57A1">
        <w:rPr>
          <w:lang w:val="uk-UA"/>
        </w:rPr>
        <w:t xml:space="preserve"> за 20</w:t>
      </w:r>
      <w:r w:rsidR="00397EDC">
        <w:rPr>
          <w:lang w:val="uk-UA"/>
        </w:rPr>
        <w:t>21</w:t>
      </w:r>
      <w:r w:rsidRPr="00DD57A1">
        <w:rPr>
          <w:lang w:val="uk-UA"/>
        </w:rPr>
        <w:t xml:space="preserve"> звітний рік,  відображає йо</w:t>
      </w:r>
      <w:r>
        <w:rPr>
          <w:lang w:val="uk-UA"/>
        </w:rPr>
        <w:t>го фінансовий стан на 31.12.20</w:t>
      </w:r>
      <w:r w:rsidR="00A83E00">
        <w:rPr>
          <w:lang w:val="uk-UA"/>
        </w:rPr>
        <w:t>2</w:t>
      </w:r>
      <w:r w:rsidR="00BB5110" w:rsidRPr="00BB5110">
        <w:rPr>
          <w:lang w:val="uk-UA"/>
        </w:rPr>
        <w:t>1</w:t>
      </w:r>
      <w:r w:rsidRPr="00DD57A1">
        <w:rPr>
          <w:lang w:val="uk-UA"/>
        </w:rPr>
        <w:t xml:space="preserve"> року, фінансові результати та рух грошових коштів за рік, що закінчився на зазначену дату, а також іншу пояснювальну інформацію, на основі Міжнародних стандартів фінансової звітності</w:t>
      </w:r>
      <w:r w:rsidRPr="00DD57A1">
        <w:rPr>
          <w:i/>
          <w:lang w:val="uk-UA"/>
        </w:rPr>
        <w:t xml:space="preserve"> </w:t>
      </w:r>
      <w:r w:rsidRPr="00DD57A1">
        <w:rPr>
          <w:lang w:val="uk-UA"/>
        </w:rPr>
        <w:t>(МСФЗ), виданих Радою з Міжнародних стандартів бухгалтерського обліку (РМСБО), які в Україні визначені в якості застосовної концептуальної основи фінансової звітності Законом України «Про бухгалтерський облік та фінансову звітність» і є для  Товариства</w:t>
      </w:r>
      <w:r w:rsidRPr="00DD57A1">
        <w:rPr>
          <w:i/>
          <w:lang w:val="uk-UA"/>
        </w:rPr>
        <w:t xml:space="preserve"> </w:t>
      </w:r>
      <w:r w:rsidRPr="00DD57A1">
        <w:rPr>
          <w:lang w:val="uk-UA"/>
        </w:rPr>
        <w:t xml:space="preserve"> прийнятною концептуальної основи загального призначення, яка водночас також є концептуальною основою достовірного подання</w:t>
      </w:r>
      <w:r>
        <w:rPr>
          <w:lang w:val="uk-UA"/>
        </w:rPr>
        <w:t>.</w:t>
      </w:r>
    </w:p>
    <w:p w:rsidR="005770D0" w:rsidRDefault="005770D0" w:rsidP="00C429BC">
      <w:pPr>
        <w:ind w:firstLine="540"/>
        <w:jc w:val="both"/>
        <w:rPr>
          <w:lang w:val="uk-UA"/>
        </w:rPr>
      </w:pPr>
    </w:p>
    <w:p w:rsidR="00CF2A19" w:rsidRDefault="002E4AFB" w:rsidP="00CF2A19">
      <w:pPr>
        <w:ind w:firstLine="540"/>
        <w:jc w:val="both"/>
        <w:rPr>
          <w:b/>
          <w:bCs/>
          <w:lang w:val="uk-UA"/>
        </w:rPr>
      </w:pPr>
      <w:r w:rsidRPr="00DD57A1">
        <w:rPr>
          <w:b/>
          <w:bCs/>
          <w:lang w:val="uk-UA"/>
        </w:rPr>
        <w:t>3.2. Основи облікової політики та складання звітності</w:t>
      </w:r>
    </w:p>
    <w:p w:rsidR="002E4AFB" w:rsidRPr="00DD57A1" w:rsidRDefault="002E4AFB" w:rsidP="00EA7DC6">
      <w:pPr>
        <w:ind w:firstLine="540"/>
        <w:jc w:val="both"/>
        <w:rPr>
          <w:lang w:val="uk-UA"/>
        </w:rPr>
      </w:pPr>
      <w:r w:rsidRPr="00DD57A1">
        <w:rPr>
          <w:lang w:val="uk-UA"/>
        </w:rPr>
        <w:t xml:space="preserve">Облікова політика </w:t>
      </w:r>
      <w:r w:rsidR="000F45ED">
        <w:rPr>
          <w:lang w:val="uk-UA"/>
        </w:rPr>
        <w:t>Компанії</w:t>
      </w:r>
      <w:r w:rsidRPr="00DD57A1">
        <w:rPr>
          <w:lang w:val="uk-UA"/>
        </w:rPr>
        <w:t xml:space="preserve"> встановлює порядок організації та ведення бухгалтерського обліку, визначає принципи, методи і процедури, що використовуються </w:t>
      </w:r>
      <w:r w:rsidR="000F45ED">
        <w:rPr>
          <w:lang w:val="uk-UA"/>
        </w:rPr>
        <w:t>Компанією</w:t>
      </w:r>
      <w:r w:rsidRPr="00DD57A1">
        <w:rPr>
          <w:lang w:val="uk-UA"/>
        </w:rPr>
        <w:t xml:space="preserve"> для складання та подання фінансової звітності.</w:t>
      </w:r>
    </w:p>
    <w:p w:rsidR="002E4AFB" w:rsidRPr="00DD57A1" w:rsidRDefault="002E4AFB" w:rsidP="00EA7DC6">
      <w:pPr>
        <w:autoSpaceDE w:val="0"/>
        <w:ind w:firstLine="540"/>
        <w:jc w:val="both"/>
        <w:rPr>
          <w:lang w:val="uk-UA"/>
        </w:rPr>
      </w:pPr>
      <w:r w:rsidRPr="00DD57A1">
        <w:rPr>
          <w:lang w:val="uk-UA"/>
        </w:rPr>
        <w:t xml:space="preserve">Облікова політика </w:t>
      </w:r>
      <w:r w:rsidR="000F45ED">
        <w:rPr>
          <w:lang w:val="uk-UA"/>
        </w:rPr>
        <w:t>Компанії</w:t>
      </w:r>
      <w:r w:rsidRPr="00DD57A1">
        <w:rPr>
          <w:lang w:val="uk-UA"/>
        </w:rPr>
        <w:t xml:space="preserve"> – документ, головною метою якого є загальна регламентація застосованих на практиці прийомів та методів бухгалтерського обліку, технологій обробки облікової інформації та документообігу.</w:t>
      </w:r>
    </w:p>
    <w:p w:rsidR="002E4AFB" w:rsidRPr="00DD57A1" w:rsidRDefault="002E4AFB" w:rsidP="00EA7DC6">
      <w:pPr>
        <w:autoSpaceDE w:val="0"/>
        <w:ind w:firstLine="540"/>
        <w:jc w:val="both"/>
        <w:rPr>
          <w:lang w:val="uk-UA"/>
        </w:rPr>
      </w:pPr>
      <w:r w:rsidRPr="00DD57A1">
        <w:rPr>
          <w:lang w:val="uk-UA"/>
        </w:rPr>
        <w:t xml:space="preserve">Облікова політика </w:t>
      </w:r>
      <w:r w:rsidR="000F45ED">
        <w:rPr>
          <w:lang w:val="uk-UA"/>
        </w:rPr>
        <w:t>Компанії</w:t>
      </w:r>
      <w:r w:rsidRPr="00DD57A1">
        <w:rPr>
          <w:lang w:val="uk-UA"/>
        </w:rPr>
        <w:t xml:space="preserve"> будується у відповідності з чинним законодавством України, а саме: Законом України «Про бухгалтерський облік та фінансову звітність в Україні», нормативними актами Нацкомфінпослуг, обраним планом рахунків бухгалтерського обліку активів, капіталу, зобов’язань і господарських операцій, основними принципами міжнародних стандартів фінансової звітності, внутрішніми нормативними документами </w:t>
      </w:r>
      <w:r w:rsidR="000F45ED">
        <w:rPr>
          <w:lang w:val="uk-UA"/>
        </w:rPr>
        <w:t>Компанії</w:t>
      </w:r>
      <w:r w:rsidRPr="00DD57A1">
        <w:rPr>
          <w:lang w:val="uk-UA"/>
        </w:rPr>
        <w:t>, що визначають порядок здійснення бухгалтерських операцій.</w:t>
      </w:r>
    </w:p>
    <w:p w:rsidR="002E4AFB" w:rsidRPr="00DD57A1" w:rsidRDefault="002E4AFB" w:rsidP="00EA7DC6">
      <w:pPr>
        <w:ind w:firstLine="540"/>
        <w:jc w:val="both"/>
        <w:rPr>
          <w:i/>
          <w:iCs/>
          <w:lang w:val="uk-UA"/>
        </w:rPr>
      </w:pPr>
      <w:r w:rsidRPr="00DD57A1">
        <w:rPr>
          <w:lang w:val="uk-UA"/>
        </w:rPr>
        <w:t>Облікова політика, розроблена відповідно до МСФЗ, і базується на наступних принципах:</w:t>
      </w:r>
    </w:p>
    <w:p w:rsidR="002E4AFB" w:rsidRPr="00DD57A1" w:rsidRDefault="002E4AFB" w:rsidP="00EA7DC6">
      <w:pPr>
        <w:numPr>
          <w:ilvl w:val="1"/>
          <w:numId w:val="13"/>
        </w:numPr>
        <w:suppressAutoHyphens/>
        <w:ind w:left="0" w:firstLine="540"/>
        <w:jc w:val="both"/>
        <w:rPr>
          <w:i/>
          <w:iCs/>
          <w:lang w:val="uk-UA"/>
        </w:rPr>
      </w:pPr>
      <w:r w:rsidRPr="00DD57A1">
        <w:rPr>
          <w:i/>
          <w:iCs/>
          <w:lang w:val="uk-UA"/>
        </w:rPr>
        <w:t xml:space="preserve">Безперервність — </w:t>
      </w:r>
      <w:r w:rsidR="000F45ED" w:rsidRPr="00DD57A1">
        <w:rPr>
          <w:lang w:val="uk-UA"/>
        </w:rPr>
        <w:t>Компанія</w:t>
      </w:r>
      <w:r w:rsidRPr="00DD57A1">
        <w:rPr>
          <w:lang w:val="uk-UA"/>
        </w:rPr>
        <w:t xml:space="preserve"> розглядається як діюче, що продовжуватиме свою діяльність в досяжному майбутньому;</w:t>
      </w:r>
    </w:p>
    <w:p w:rsidR="002E4AFB" w:rsidRPr="00DD57A1" w:rsidRDefault="002E4AFB" w:rsidP="00EA7DC6">
      <w:pPr>
        <w:numPr>
          <w:ilvl w:val="1"/>
          <w:numId w:val="13"/>
        </w:numPr>
        <w:suppressAutoHyphens/>
        <w:ind w:left="0" w:firstLine="540"/>
        <w:jc w:val="both"/>
        <w:rPr>
          <w:i/>
          <w:iCs/>
          <w:lang w:val="uk-UA"/>
        </w:rPr>
      </w:pPr>
      <w:r w:rsidRPr="00DD57A1">
        <w:rPr>
          <w:i/>
          <w:iCs/>
          <w:lang w:val="uk-UA"/>
        </w:rPr>
        <w:t xml:space="preserve">Обачність — </w:t>
      </w:r>
      <w:r w:rsidRPr="00DD57A1">
        <w:rPr>
          <w:lang w:val="uk-UA"/>
        </w:rPr>
        <w:t xml:space="preserve">при формуванні попередньої звітності </w:t>
      </w:r>
      <w:r w:rsidR="000F45ED" w:rsidRPr="00DD57A1">
        <w:rPr>
          <w:lang w:val="uk-UA"/>
        </w:rPr>
        <w:t>Компанія</w:t>
      </w:r>
      <w:r w:rsidRPr="00DD57A1">
        <w:rPr>
          <w:lang w:val="uk-UA"/>
        </w:rPr>
        <w:t xml:space="preserve"> застосовує методи оцінки, відповідно до яких активи та/або дохід не завищується, а зобов'язання та/або витрати не занижуються;</w:t>
      </w:r>
    </w:p>
    <w:p w:rsidR="002E4AFB" w:rsidRPr="00DD57A1" w:rsidRDefault="002E4AFB" w:rsidP="00EA7DC6">
      <w:pPr>
        <w:numPr>
          <w:ilvl w:val="1"/>
          <w:numId w:val="13"/>
        </w:numPr>
        <w:suppressAutoHyphens/>
        <w:ind w:left="0" w:firstLine="540"/>
        <w:jc w:val="both"/>
        <w:rPr>
          <w:i/>
          <w:iCs/>
          <w:lang w:val="uk-UA"/>
        </w:rPr>
      </w:pPr>
      <w:r w:rsidRPr="00DD57A1">
        <w:rPr>
          <w:i/>
          <w:iCs/>
          <w:lang w:val="uk-UA"/>
        </w:rPr>
        <w:t>Превалювання сутності над формою —</w:t>
      </w:r>
      <w:r w:rsidRPr="00DD57A1">
        <w:rPr>
          <w:lang w:val="uk-UA"/>
        </w:rPr>
        <w:t xml:space="preserve"> операції та інші події відображаються відповідно до їх сутності та фінансової реальності, але не лише з їх юридичної форми;</w:t>
      </w:r>
    </w:p>
    <w:p w:rsidR="002E4AFB" w:rsidRPr="00DD57A1" w:rsidRDefault="002E4AFB" w:rsidP="00EA7DC6">
      <w:pPr>
        <w:numPr>
          <w:ilvl w:val="1"/>
          <w:numId w:val="13"/>
        </w:numPr>
        <w:suppressAutoHyphens/>
        <w:ind w:left="0" w:firstLine="540"/>
        <w:jc w:val="both"/>
        <w:rPr>
          <w:i/>
          <w:iCs/>
          <w:lang w:val="uk-UA"/>
        </w:rPr>
      </w:pPr>
      <w:r w:rsidRPr="00DD57A1">
        <w:rPr>
          <w:i/>
          <w:iCs/>
          <w:lang w:val="uk-UA"/>
        </w:rPr>
        <w:t xml:space="preserve">Повне висвітлення — </w:t>
      </w:r>
      <w:r w:rsidRPr="00DD57A1">
        <w:rPr>
          <w:lang w:val="uk-UA"/>
        </w:rPr>
        <w:t xml:space="preserve">попередня фінансова звітність </w:t>
      </w:r>
      <w:r w:rsidR="003754BE">
        <w:rPr>
          <w:lang w:val="uk-UA"/>
        </w:rPr>
        <w:t>Компанії</w:t>
      </w:r>
      <w:r w:rsidRPr="00DD57A1">
        <w:rPr>
          <w:lang w:val="uk-UA"/>
        </w:rPr>
        <w:t xml:space="preserve"> містить всю інформацію про фактичні та потенційні наслідки діяльності Товариства;</w:t>
      </w:r>
    </w:p>
    <w:p w:rsidR="002E4AFB" w:rsidRPr="00DD57A1" w:rsidRDefault="002E4AFB" w:rsidP="00EA7DC6">
      <w:pPr>
        <w:numPr>
          <w:ilvl w:val="1"/>
          <w:numId w:val="13"/>
        </w:numPr>
        <w:suppressAutoHyphens/>
        <w:ind w:left="0" w:firstLine="540"/>
        <w:jc w:val="both"/>
        <w:rPr>
          <w:lang w:val="uk-UA"/>
        </w:rPr>
      </w:pPr>
      <w:r w:rsidRPr="00DD57A1">
        <w:rPr>
          <w:i/>
          <w:iCs/>
          <w:lang w:val="uk-UA"/>
        </w:rPr>
        <w:t xml:space="preserve">Послідовність — </w:t>
      </w:r>
      <w:r w:rsidR="003754BE" w:rsidRPr="00DD57A1">
        <w:rPr>
          <w:lang w:val="uk-UA"/>
        </w:rPr>
        <w:t>Компанія</w:t>
      </w:r>
      <w:r w:rsidRPr="00DD57A1">
        <w:rPr>
          <w:lang w:val="uk-UA"/>
        </w:rPr>
        <w:t xml:space="preserve"> зберігає подання та класифікацію статей у попередній фінансовій звітності від одного періоду до іншого, якщо тільки:</w:t>
      </w:r>
    </w:p>
    <w:p w:rsidR="002E4AFB" w:rsidRPr="00DD57A1" w:rsidRDefault="002E4AFB" w:rsidP="00EA7DC6">
      <w:pPr>
        <w:ind w:firstLine="540"/>
        <w:jc w:val="both"/>
        <w:rPr>
          <w:lang w:val="uk-UA"/>
        </w:rPr>
      </w:pPr>
      <w:r w:rsidRPr="00DD57A1">
        <w:rPr>
          <w:lang w:val="uk-UA"/>
        </w:rPr>
        <w:t>а) не є очевидним (внаслідок суттєвої зміни в характері операцій суб'єкта господарювання або огляду його фінансової звітності), що інше подання чи інша класифікація будуть більш доречними з урахуванням критеріїв щодо обрання та застосування облікових політик у МСБО 8;</w:t>
      </w:r>
    </w:p>
    <w:p w:rsidR="002E4AFB" w:rsidRPr="00DD57A1" w:rsidRDefault="002E4AFB" w:rsidP="00EA7DC6">
      <w:pPr>
        <w:ind w:firstLine="540"/>
        <w:jc w:val="both"/>
        <w:rPr>
          <w:i/>
          <w:iCs/>
          <w:lang w:val="uk-UA"/>
        </w:rPr>
      </w:pPr>
      <w:r w:rsidRPr="00DD57A1">
        <w:rPr>
          <w:lang w:val="uk-UA"/>
        </w:rPr>
        <w:t>б) МСФЗ не вимагає зміни в поданні;</w:t>
      </w:r>
    </w:p>
    <w:p w:rsidR="002E4AFB" w:rsidRPr="00DD57A1" w:rsidRDefault="002E4AFB" w:rsidP="00EA7DC6">
      <w:pPr>
        <w:numPr>
          <w:ilvl w:val="1"/>
          <w:numId w:val="13"/>
        </w:numPr>
        <w:suppressAutoHyphens/>
        <w:ind w:left="0" w:firstLine="540"/>
        <w:jc w:val="both"/>
        <w:rPr>
          <w:lang w:val="uk-UA"/>
        </w:rPr>
      </w:pPr>
      <w:r w:rsidRPr="00DD57A1">
        <w:rPr>
          <w:i/>
          <w:iCs/>
          <w:lang w:val="uk-UA"/>
        </w:rPr>
        <w:t xml:space="preserve">Нарахування та відповідність — </w:t>
      </w:r>
      <w:r w:rsidRPr="00DD57A1">
        <w:rPr>
          <w:lang w:val="uk-UA"/>
        </w:rPr>
        <w:t>елементи попередньої фінансової звітності (активи, зобов'язання, власний капітал, дохід та витрати) визнаються тоді коли вони відповідають визначенню критеріям визнання, описаних в даній обліковій політиці, та відображаються в фінансовій звітності тих періодів, до яких вони належать.</w:t>
      </w:r>
      <w:r w:rsidRPr="00DD57A1">
        <w:rPr>
          <w:b/>
          <w:bCs/>
          <w:lang w:val="uk-UA"/>
        </w:rPr>
        <w:t xml:space="preserve"> </w:t>
      </w:r>
    </w:p>
    <w:p w:rsidR="002E4AFB" w:rsidRPr="00DD57A1" w:rsidRDefault="002E4AFB" w:rsidP="00EA7DC6">
      <w:pPr>
        <w:autoSpaceDE w:val="0"/>
        <w:ind w:firstLine="540"/>
        <w:jc w:val="both"/>
        <w:rPr>
          <w:lang w:val="uk-UA"/>
        </w:rPr>
      </w:pPr>
      <w:r w:rsidRPr="00DD57A1">
        <w:rPr>
          <w:lang w:val="uk-UA"/>
        </w:rPr>
        <w:t xml:space="preserve">Обрана </w:t>
      </w:r>
      <w:r w:rsidR="003754BE">
        <w:rPr>
          <w:lang w:val="uk-UA"/>
        </w:rPr>
        <w:t>Компанією</w:t>
      </w:r>
      <w:r w:rsidRPr="00DD57A1">
        <w:rPr>
          <w:lang w:val="uk-UA"/>
        </w:rPr>
        <w:t xml:space="preserve"> облікова політика:</w:t>
      </w:r>
    </w:p>
    <w:p w:rsidR="002E4AFB" w:rsidRPr="00DD57A1" w:rsidRDefault="002E4AFB" w:rsidP="00EA7DC6">
      <w:pPr>
        <w:autoSpaceDE w:val="0"/>
        <w:ind w:firstLine="540"/>
        <w:jc w:val="both"/>
        <w:rPr>
          <w:lang w:val="uk-UA"/>
        </w:rPr>
      </w:pPr>
      <w:r w:rsidRPr="00DD57A1">
        <w:rPr>
          <w:lang w:val="uk-UA"/>
        </w:rPr>
        <w:t>- забезпечує повноту та достовірність відображення операцій в обліку;</w:t>
      </w:r>
    </w:p>
    <w:p w:rsidR="002E4AFB" w:rsidRPr="00DD57A1" w:rsidRDefault="002E4AFB" w:rsidP="00EA7DC6">
      <w:pPr>
        <w:autoSpaceDE w:val="0"/>
        <w:ind w:firstLine="540"/>
        <w:jc w:val="both"/>
        <w:rPr>
          <w:lang w:val="uk-UA"/>
        </w:rPr>
      </w:pPr>
      <w:r w:rsidRPr="00DD57A1">
        <w:rPr>
          <w:lang w:val="uk-UA"/>
        </w:rPr>
        <w:t>- визначає систему ведення бухгалтерського обліку;</w:t>
      </w:r>
    </w:p>
    <w:p w:rsidR="002E4AFB" w:rsidRPr="00DD57A1" w:rsidRDefault="002E4AFB" w:rsidP="00EA7DC6">
      <w:pPr>
        <w:autoSpaceDE w:val="0"/>
        <w:ind w:firstLine="540"/>
        <w:jc w:val="both"/>
        <w:rPr>
          <w:lang w:val="uk-UA"/>
        </w:rPr>
      </w:pPr>
      <w:r w:rsidRPr="00DD57A1">
        <w:rPr>
          <w:lang w:val="uk-UA"/>
        </w:rPr>
        <w:t>-</w:t>
      </w:r>
      <w:r w:rsidR="00EC7E20">
        <w:rPr>
          <w:lang w:val="uk-UA"/>
        </w:rPr>
        <w:t xml:space="preserve"> </w:t>
      </w:r>
      <w:r w:rsidRPr="00DD57A1">
        <w:rPr>
          <w:lang w:val="uk-UA"/>
        </w:rPr>
        <w:t>закріплює правила та процедури, прийняті керівництвом для ведення фінансового, управлінського та податкового обліку;</w:t>
      </w:r>
    </w:p>
    <w:p w:rsidR="002E4AFB" w:rsidRPr="00DD57A1" w:rsidRDefault="002E4AFB" w:rsidP="00EA7DC6">
      <w:pPr>
        <w:autoSpaceDE w:val="0"/>
        <w:ind w:firstLine="540"/>
        <w:jc w:val="both"/>
        <w:rPr>
          <w:lang w:val="uk-UA"/>
        </w:rPr>
      </w:pPr>
      <w:r w:rsidRPr="00DD57A1">
        <w:rPr>
          <w:lang w:val="uk-UA"/>
        </w:rPr>
        <w:t>- відображає особливості організації та ведення бухгалтерського обліку;</w:t>
      </w:r>
    </w:p>
    <w:p w:rsidR="002E4AFB" w:rsidRPr="00DD57A1" w:rsidRDefault="002E4AFB" w:rsidP="00EA7DC6">
      <w:pPr>
        <w:autoSpaceDE w:val="0"/>
        <w:ind w:firstLine="540"/>
        <w:jc w:val="both"/>
        <w:rPr>
          <w:lang w:val="uk-UA"/>
        </w:rPr>
      </w:pPr>
      <w:r w:rsidRPr="00DD57A1">
        <w:rPr>
          <w:lang w:val="uk-UA"/>
        </w:rPr>
        <w:t>- сприяє виконанню повного обсягу фінансово - господарських операцій;</w:t>
      </w:r>
    </w:p>
    <w:p w:rsidR="002E4AFB" w:rsidRPr="00DD57A1" w:rsidRDefault="002E4AFB" w:rsidP="00EA7DC6">
      <w:pPr>
        <w:autoSpaceDE w:val="0"/>
        <w:ind w:firstLine="540"/>
        <w:jc w:val="both"/>
        <w:rPr>
          <w:lang w:val="uk-UA"/>
        </w:rPr>
      </w:pPr>
      <w:r w:rsidRPr="00DD57A1">
        <w:rPr>
          <w:lang w:val="uk-UA"/>
        </w:rPr>
        <w:t>- забезпечує встановлення контролю здійснення цих операцій;</w:t>
      </w:r>
    </w:p>
    <w:p w:rsidR="002E4AFB" w:rsidRPr="00DD57A1" w:rsidRDefault="002E4AFB" w:rsidP="00EA7DC6">
      <w:pPr>
        <w:autoSpaceDE w:val="0"/>
        <w:ind w:firstLine="540"/>
        <w:jc w:val="both"/>
        <w:rPr>
          <w:lang w:val="uk-UA"/>
        </w:rPr>
      </w:pPr>
      <w:r w:rsidRPr="00DD57A1">
        <w:rPr>
          <w:lang w:val="uk-UA"/>
        </w:rPr>
        <w:t>- встановлює правила документообігу;</w:t>
      </w:r>
    </w:p>
    <w:p w:rsidR="002E4AFB" w:rsidRPr="00DD57A1" w:rsidRDefault="002E4AFB" w:rsidP="00EA7DC6">
      <w:pPr>
        <w:autoSpaceDE w:val="0"/>
        <w:ind w:firstLine="540"/>
        <w:jc w:val="both"/>
        <w:rPr>
          <w:lang w:val="uk-UA"/>
        </w:rPr>
      </w:pPr>
      <w:r w:rsidRPr="00DD57A1">
        <w:rPr>
          <w:lang w:val="uk-UA"/>
        </w:rPr>
        <w:t>- затверджує ведення системи рахунків і регістрів бухгалтерського обліку;</w:t>
      </w:r>
    </w:p>
    <w:p w:rsidR="002E4AFB" w:rsidRPr="00DD57A1" w:rsidRDefault="002E4AFB" w:rsidP="00EA7DC6">
      <w:pPr>
        <w:autoSpaceDE w:val="0"/>
        <w:ind w:firstLine="540"/>
        <w:jc w:val="both"/>
        <w:rPr>
          <w:lang w:val="uk-UA"/>
        </w:rPr>
      </w:pPr>
      <w:r w:rsidRPr="00DD57A1">
        <w:rPr>
          <w:lang w:val="uk-UA"/>
        </w:rPr>
        <w:t>- визначає технологію обробки облікової інформації.</w:t>
      </w:r>
    </w:p>
    <w:p w:rsidR="002E4AFB" w:rsidRPr="00DD57A1" w:rsidRDefault="002E4AFB" w:rsidP="00EA7DC6">
      <w:pPr>
        <w:autoSpaceDE w:val="0"/>
        <w:ind w:firstLine="540"/>
        <w:jc w:val="both"/>
        <w:rPr>
          <w:lang w:val="uk-UA"/>
        </w:rPr>
      </w:pPr>
      <w:r w:rsidRPr="00DD57A1">
        <w:rPr>
          <w:lang w:val="uk-UA"/>
        </w:rPr>
        <w:t>Облікова політика містить правила ведення бухгалтерського обліку, дотримання яких є обов’язковими. За цим документом затверджується методологія відображення окремих бухгалтерських операцій та особливості організації бухгалтерського обліку.</w:t>
      </w:r>
    </w:p>
    <w:p w:rsidR="00C40CF9" w:rsidRPr="00DD57A1" w:rsidRDefault="00C40CF9" w:rsidP="00EA7DC6">
      <w:pPr>
        <w:ind w:firstLine="567"/>
        <w:jc w:val="both"/>
        <w:rPr>
          <w:lang w:val="uk-UA"/>
        </w:rPr>
      </w:pPr>
      <w:r w:rsidRPr="00DD57A1">
        <w:rPr>
          <w:lang w:val="uk-UA"/>
        </w:rPr>
        <w:t>Основні принципи облікової політики, застосовані при підготовці цієї  фінансової звітності, послідовно застосовувалися протягом усіх представлених звітів періодів.</w:t>
      </w:r>
    </w:p>
    <w:p w:rsidR="003E7439" w:rsidRDefault="003E7439" w:rsidP="00EA7DC6">
      <w:pPr>
        <w:shd w:val="clear" w:color="auto" w:fill="FFFFFF"/>
        <w:autoSpaceDE w:val="0"/>
        <w:autoSpaceDN w:val="0"/>
        <w:adjustRightInd w:val="0"/>
        <w:ind w:firstLine="397"/>
        <w:jc w:val="both"/>
        <w:rPr>
          <w:lang w:val="uk-UA"/>
        </w:rPr>
      </w:pPr>
      <w:r w:rsidRPr="00781FAF">
        <w:rPr>
          <w:lang w:val="uk-UA"/>
        </w:rPr>
        <w:t>Ця фінансова звітність підготовлена на основі історичної собівартості, та оцінки за справедливою вартістю</w:t>
      </w:r>
      <w:r>
        <w:rPr>
          <w:lang w:val="uk-UA"/>
        </w:rPr>
        <w:t xml:space="preserve"> або амортизованою собівартістю</w:t>
      </w:r>
      <w:r w:rsidRPr="00781FAF">
        <w:rPr>
          <w:lang w:val="uk-UA"/>
        </w:rPr>
        <w:t xml:space="preserve"> фінансових інструментів відповідно до</w:t>
      </w:r>
      <w:r>
        <w:rPr>
          <w:lang w:val="uk-UA"/>
        </w:rPr>
        <w:t xml:space="preserve"> МСФЗ 9 «Фінансові інструменти». Оцінка справедливої вартості здійснюється</w:t>
      </w:r>
      <w:r w:rsidRPr="00781FAF">
        <w:rPr>
          <w:lang w:val="uk-UA"/>
        </w:rPr>
        <w:t xml:space="preserve"> з використанням методів оцінки фінансових інструментів, дозволених МСФЗ 13 «Оцінки за справедливою вартістю». Такі методи оцінки включають використання біржових котирувань або даних про поточну ринкову вартість іншого аналогічного за характером інструменту, аналіз дисконтованих грошових потоків або інші моделі визначення справедливої вартості. Передбачувана справедлива вартість фінансових активів і зобов’язань визначається з використанням наявної інформації про ринок і відповідних методів оцінки. </w:t>
      </w:r>
    </w:p>
    <w:p w:rsidR="00EA5D3E" w:rsidRPr="00DD57A1" w:rsidRDefault="00EA5D3E" w:rsidP="00B950C8">
      <w:pPr>
        <w:spacing w:line="240" w:lineRule="atLeast"/>
        <w:jc w:val="both"/>
        <w:rPr>
          <w:b/>
          <w:lang w:val="uk-UA"/>
        </w:rPr>
      </w:pPr>
    </w:p>
    <w:p w:rsidR="0029058E" w:rsidRDefault="00906B9A" w:rsidP="0041347B">
      <w:pPr>
        <w:spacing w:line="240" w:lineRule="atLeast"/>
        <w:ind w:firstLine="567"/>
        <w:jc w:val="both"/>
        <w:rPr>
          <w:b/>
          <w:bCs/>
          <w:spacing w:val="-2"/>
          <w:lang w:val="uk-UA"/>
        </w:rPr>
      </w:pPr>
      <w:r>
        <w:rPr>
          <w:b/>
          <w:lang w:val="uk-UA"/>
        </w:rPr>
        <w:t>3.</w:t>
      </w:r>
      <w:r w:rsidR="00D1381A">
        <w:rPr>
          <w:b/>
          <w:lang w:val="uk-UA"/>
        </w:rPr>
        <w:t>3</w:t>
      </w:r>
      <w:r w:rsidR="003178DD" w:rsidRPr="00DD57A1">
        <w:rPr>
          <w:b/>
          <w:lang w:val="uk-UA"/>
        </w:rPr>
        <w:t xml:space="preserve">. </w:t>
      </w:r>
      <w:r w:rsidR="0029058E" w:rsidRPr="00482B77">
        <w:rPr>
          <w:b/>
          <w:bCs/>
          <w:spacing w:val="-2"/>
          <w:lang w:val="uk-UA"/>
        </w:rPr>
        <w:t>Облікові політики щодо фінансових інструментів</w:t>
      </w:r>
    </w:p>
    <w:p w:rsidR="0041347B" w:rsidRDefault="0041347B" w:rsidP="0041347B">
      <w:pPr>
        <w:shd w:val="clear" w:color="auto" w:fill="FFFFFF"/>
        <w:autoSpaceDE w:val="0"/>
        <w:autoSpaceDN w:val="0"/>
        <w:adjustRightInd w:val="0"/>
        <w:spacing w:line="240" w:lineRule="atLeast"/>
        <w:ind w:left="567"/>
        <w:jc w:val="both"/>
        <w:rPr>
          <w:b/>
          <w:bCs/>
          <w:spacing w:val="-2"/>
          <w:lang w:val="uk-UA"/>
        </w:rPr>
      </w:pPr>
    </w:p>
    <w:p w:rsidR="0029058E" w:rsidRDefault="0029058E" w:rsidP="0041347B">
      <w:pPr>
        <w:shd w:val="clear" w:color="auto" w:fill="FFFFFF"/>
        <w:autoSpaceDE w:val="0"/>
        <w:autoSpaceDN w:val="0"/>
        <w:adjustRightInd w:val="0"/>
        <w:spacing w:line="240" w:lineRule="atLeast"/>
        <w:ind w:left="567"/>
        <w:jc w:val="both"/>
        <w:rPr>
          <w:b/>
          <w:i/>
          <w:lang w:val="uk-UA"/>
        </w:rPr>
      </w:pPr>
      <w:r>
        <w:rPr>
          <w:b/>
          <w:bCs/>
          <w:spacing w:val="-2"/>
          <w:lang w:val="uk-UA"/>
        </w:rPr>
        <w:t>3.</w:t>
      </w:r>
      <w:r w:rsidR="00D1381A">
        <w:rPr>
          <w:b/>
          <w:bCs/>
          <w:spacing w:val="-2"/>
          <w:lang w:val="uk-UA"/>
        </w:rPr>
        <w:t>3</w:t>
      </w:r>
      <w:r>
        <w:rPr>
          <w:b/>
          <w:bCs/>
          <w:spacing w:val="-2"/>
          <w:lang w:val="uk-UA"/>
        </w:rPr>
        <w:t>.1</w:t>
      </w:r>
      <w:r w:rsidRPr="00E71AE0">
        <w:rPr>
          <w:b/>
          <w:bCs/>
          <w:spacing w:val="-2"/>
          <w:lang w:val="uk-UA"/>
        </w:rPr>
        <w:t>.</w:t>
      </w:r>
      <w:r w:rsidRPr="00E71AE0">
        <w:rPr>
          <w:b/>
          <w:lang w:val="uk-UA"/>
        </w:rPr>
        <w:t xml:space="preserve"> Визнання та оцінка фінансових інструментів</w:t>
      </w:r>
    </w:p>
    <w:p w:rsidR="006B32CE" w:rsidRPr="00E430D2" w:rsidRDefault="00787258" w:rsidP="00EA7DC6">
      <w:pPr>
        <w:pStyle w:val="a8"/>
        <w:spacing w:before="116"/>
        <w:ind w:right="407"/>
        <w:jc w:val="both"/>
        <w:rPr>
          <w:lang w:val="uk-UA"/>
        </w:rPr>
      </w:pPr>
      <w:r>
        <w:rPr>
          <w:lang w:val="uk-UA"/>
        </w:rPr>
        <w:t xml:space="preserve">       </w:t>
      </w:r>
      <w:r w:rsidR="006B32CE" w:rsidRPr="00E430D2">
        <w:rPr>
          <w:lang w:val="uk-UA"/>
        </w:rPr>
        <w:t>Фінансові інструменти обліковуються відповідно до МСБО 32 "Фінансові інструменти: подання" і МСФЗ 9 «Фінансові інструменти».</w:t>
      </w:r>
    </w:p>
    <w:p w:rsidR="001C479E" w:rsidRDefault="0029058E" w:rsidP="00EA7DC6">
      <w:pPr>
        <w:shd w:val="clear" w:color="auto" w:fill="FFFFFF"/>
        <w:autoSpaceDE w:val="0"/>
        <w:autoSpaceDN w:val="0"/>
        <w:adjustRightInd w:val="0"/>
        <w:spacing w:before="120" w:after="60"/>
        <w:ind w:firstLine="397"/>
        <w:jc w:val="both"/>
        <w:rPr>
          <w:lang w:val="uk-UA"/>
        </w:rPr>
      </w:pPr>
      <w:r w:rsidRPr="00481F97">
        <w:rPr>
          <w:lang w:val="uk-UA"/>
        </w:rPr>
        <w:t xml:space="preserve">Товариство визнає фінансовий актив або фінансове зобов'язання у балансі, коли і тільки коли воно стає стороною контрактних положень щодо фінансового інструмента. Операції з придбання або продажу фінансових інструментів визнаються із застосуванням обліку за датою розрахунку. За строками виконання зобов'язань, фінансові активи та фінансові зобов'язання Товариства класифікує на короткострокові (поточні) - до 1 року, </w:t>
      </w:r>
      <w:r w:rsidRPr="005D204D">
        <w:rPr>
          <w:lang w:val="uk-UA"/>
        </w:rPr>
        <w:t>довгострокові - більше 12 місяців.</w:t>
      </w:r>
    </w:p>
    <w:p w:rsidR="0029058E" w:rsidRDefault="0029058E" w:rsidP="00EA7DC6">
      <w:pPr>
        <w:shd w:val="clear" w:color="auto" w:fill="FFFFFF"/>
        <w:autoSpaceDE w:val="0"/>
        <w:autoSpaceDN w:val="0"/>
        <w:adjustRightInd w:val="0"/>
        <w:spacing w:before="120" w:after="60"/>
        <w:ind w:firstLine="397"/>
        <w:jc w:val="both"/>
        <w:rPr>
          <w:lang w:val="uk-UA"/>
        </w:rPr>
      </w:pPr>
      <w:r>
        <w:rPr>
          <w:lang w:val="uk-UA"/>
        </w:rPr>
        <w:t>Класифікація фінансових інструментів здійснюється згідно до МСФЗ 9 «Фінансові інструменти»</w:t>
      </w:r>
    </w:p>
    <w:p w:rsidR="0029058E" w:rsidRPr="00481F97" w:rsidRDefault="0029058E" w:rsidP="00EA7DC6">
      <w:pPr>
        <w:shd w:val="clear" w:color="auto" w:fill="FFFFFF"/>
        <w:autoSpaceDE w:val="0"/>
        <w:autoSpaceDN w:val="0"/>
        <w:adjustRightInd w:val="0"/>
        <w:spacing w:before="120" w:after="120"/>
        <w:ind w:firstLine="357"/>
        <w:jc w:val="both"/>
      </w:pPr>
      <w:r w:rsidRPr="00481F97">
        <w:rPr>
          <w:lang w:val="uk-UA"/>
        </w:rPr>
        <w:t>Товариство визнає такі категорії фінансових активів та фінансових зобов’язань:</w:t>
      </w:r>
    </w:p>
    <w:p w:rsidR="0029058E" w:rsidRPr="00481F97" w:rsidRDefault="0029058E" w:rsidP="00EA7DC6">
      <w:pPr>
        <w:pStyle w:val="ab"/>
        <w:numPr>
          <w:ilvl w:val="0"/>
          <w:numId w:val="7"/>
        </w:numPr>
        <w:shd w:val="clear" w:color="auto" w:fill="FFFFFF"/>
        <w:autoSpaceDE w:val="0"/>
        <w:autoSpaceDN w:val="0"/>
        <w:adjustRightInd w:val="0"/>
        <w:spacing w:after="60"/>
        <w:jc w:val="both"/>
      </w:pPr>
      <w:r w:rsidRPr="00481F97">
        <w:rPr>
          <w:lang w:val="uk-UA"/>
        </w:rPr>
        <w:t>фінансові активи</w:t>
      </w:r>
      <w:r w:rsidRPr="00481F97">
        <w:t>,</w:t>
      </w:r>
      <w:r w:rsidRPr="00481F97">
        <w:rPr>
          <w:lang w:val="uk-UA"/>
        </w:rPr>
        <w:t xml:space="preserve"> що оцінюються за справедливою вартістю, з відображенням результату переоцінки у прибутку або збитку;</w:t>
      </w:r>
    </w:p>
    <w:p w:rsidR="0029058E" w:rsidRPr="00481F97" w:rsidRDefault="0029058E" w:rsidP="00EA7DC6">
      <w:pPr>
        <w:pStyle w:val="ab"/>
        <w:numPr>
          <w:ilvl w:val="0"/>
          <w:numId w:val="7"/>
        </w:numPr>
        <w:shd w:val="clear" w:color="auto" w:fill="FFFFFF"/>
        <w:autoSpaceDE w:val="0"/>
        <w:autoSpaceDN w:val="0"/>
        <w:adjustRightInd w:val="0"/>
        <w:spacing w:after="60"/>
        <w:jc w:val="both"/>
      </w:pPr>
      <w:r w:rsidRPr="00481F97">
        <w:rPr>
          <w:lang w:val="uk-UA"/>
        </w:rPr>
        <w:t>фінансові активи, що оцінюються за амортизованою собівартістю;</w:t>
      </w:r>
    </w:p>
    <w:p w:rsidR="0029058E" w:rsidRPr="00481F97" w:rsidRDefault="0029058E" w:rsidP="00EA7DC6">
      <w:pPr>
        <w:pStyle w:val="ab"/>
        <w:numPr>
          <w:ilvl w:val="0"/>
          <w:numId w:val="7"/>
        </w:numPr>
        <w:shd w:val="clear" w:color="auto" w:fill="FFFFFF"/>
        <w:autoSpaceDE w:val="0"/>
        <w:autoSpaceDN w:val="0"/>
        <w:adjustRightInd w:val="0"/>
        <w:spacing w:after="60"/>
        <w:jc w:val="both"/>
        <w:rPr>
          <w:iCs/>
          <w:lang w:val="uk-UA"/>
        </w:rPr>
      </w:pPr>
      <w:r w:rsidRPr="00481F97">
        <w:rPr>
          <w:iCs/>
          <w:lang w:val="uk-UA"/>
        </w:rPr>
        <w:t xml:space="preserve">фінансові зобов'язання, оцінені </w:t>
      </w:r>
      <w:r w:rsidRPr="00481F97">
        <w:rPr>
          <w:lang w:val="uk-UA"/>
        </w:rPr>
        <w:t>за справедливою вартістю, з відображенням результату переоцінки у прибутку або збитку</w:t>
      </w:r>
      <w:r w:rsidRPr="00481F97">
        <w:rPr>
          <w:iCs/>
          <w:lang w:val="uk-UA"/>
        </w:rPr>
        <w:t>;</w:t>
      </w:r>
    </w:p>
    <w:p w:rsidR="0029058E" w:rsidRDefault="0029058E" w:rsidP="00EA7DC6">
      <w:pPr>
        <w:pStyle w:val="ab"/>
        <w:numPr>
          <w:ilvl w:val="0"/>
          <w:numId w:val="7"/>
        </w:numPr>
        <w:shd w:val="clear" w:color="auto" w:fill="FFFFFF"/>
        <w:autoSpaceDE w:val="0"/>
        <w:autoSpaceDN w:val="0"/>
        <w:adjustRightInd w:val="0"/>
        <w:spacing w:after="60"/>
        <w:jc w:val="both"/>
        <w:rPr>
          <w:iCs/>
          <w:lang w:val="uk-UA"/>
        </w:rPr>
      </w:pPr>
      <w:r w:rsidRPr="00481F97">
        <w:rPr>
          <w:iCs/>
          <w:lang w:val="uk-UA"/>
        </w:rPr>
        <w:t>фінансові зобов'язання, оцінені за амортизованою собівартістю.</w:t>
      </w:r>
    </w:p>
    <w:p w:rsidR="0029058E" w:rsidRPr="000F7EC4" w:rsidRDefault="0029058E" w:rsidP="00EA7DC6">
      <w:pPr>
        <w:pStyle w:val="ab"/>
        <w:shd w:val="clear" w:color="auto" w:fill="FFFFFF"/>
        <w:autoSpaceDE w:val="0"/>
        <w:autoSpaceDN w:val="0"/>
        <w:adjustRightInd w:val="0"/>
        <w:spacing w:before="20" w:after="20"/>
        <w:ind w:left="0" w:firstLine="357"/>
        <w:jc w:val="both"/>
        <w:rPr>
          <w:iCs/>
          <w:lang w:val="uk-UA"/>
        </w:rPr>
      </w:pPr>
      <w:r w:rsidRPr="000F7EC4">
        <w:rPr>
          <w:iCs/>
          <w:lang w:val="uk-UA"/>
        </w:rPr>
        <w:t>Під час первісного визнання фінансового активу або фінансового зобов’язання  Товариство оцінює їх за їхньою справедливою вартістю.</w:t>
      </w:r>
    </w:p>
    <w:p w:rsidR="00E10141" w:rsidRDefault="00E10141" w:rsidP="00EA7DC6">
      <w:pPr>
        <w:pStyle w:val="ab"/>
        <w:shd w:val="clear" w:color="auto" w:fill="FFFFFF"/>
        <w:autoSpaceDE w:val="0"/>
        <w:autoSpaceDN w:val="0"/>
        <w:adjustRightInd w:val="0"/>
        <w:spacing w:before="20" w:after="20"/>
        <w:ind w:left="0" w:firstLine="357"/>
        <w:jc w:val="both"/>
        <w:rPr>
          <w:iCs/>
          <w:lang w:val="uk-UA"/>
        </w:rPr>
      </w:pPr>
      <w:r w:rsidRPr="000F7EC4">
        <w:rPr>
          <w:iCs/>
          <w:lang w:val="uk-UA"/>
        </w:rPr>
        <w:t>При припиненні визнання  фінансового активу повністю різниця між балансовою вартістю (оціненою на дату припинення визнання) та отриманою компенсацією (включаючи будь-який новий отриманий  актив мінус будь-яке нове зобов’язання) визнають у прибутку або збитку.</w:t>
      </w:r>
    </w:p>
    <w:p w:rsidR="00913EAC" w:rsidRPr="00913EAC" w:rsidRDefault="00913EAC" w:rsidP="00EA7DC6">
      <w:pPr>
        <w:pStyle w:val="ab"/>
        <w:shd w:val="clear" w:color="auto" w:fill="FFFFFF"/>
        <w:autoSpaceDE w:val="0"/>
        <w:autoSpaceDN w:val="0"/>
        <w:adjustRightInd w:val="0"/>
        <w:spacing w:before="20" w:after="20"/>
        <w:ind w:left="0" w:firstLine="357"/>
        <w:jc w:val="both"/>
        <w:rPr>
          <w:iCs/>
          <w:lang w:val="uk-UA"/>
        </w:rPr>
      </w:pPr>
      <w:r>
        <w:rPr>
          <w:iCs/>
          <w:lang w:val="uk-UA"/>
        </w:rPr>
        <w:tab/>
      </w:r>
      <w:r w:rsidRPr="00913EAC">
        <w:rPr>
          <w:iCs/>
          <w:lang w:val="uk-UA"/>
        </w:rPr>
        <w:t>Фінансовий актив оцінюється за амортизованою собівартістю, якщо він придбавається з метою одержання договірних грошових потоків і договірні умови фінансового активу генерують грошові</w:t>
      </w:r>
      <w:r>
        <w:rPr>
          <w:iCs/>
          <w:lang w:val="uk-UA"/>
        </w:rPr>
        <w:t xml:space="preserve"> </w:t>
      </w:r>
      <w:r w:rsidRPr="00913EAC">
        <w:rPr>
          <w:iCs/>
          <w:lang w:val="uk-UA"/>
        </w:rPr>
        <w:t>потоки, котрі є суто виплатами основної суми та процентів на непогашену частку основної суми.</w:t>
      </w:r>
    </w:p>
    <w:p w:rsidR="00BB07D0" w:rsidRDefault="00913EAC" w:rsidP="00EA7DC6">
      <w:pPr>
        <w:pStyle w:val="ab"/>
        <w:shd w:val="clear" w:color="auto" w:fill="FFFFFF"/>
        <w:autoSpaceDE w:val="0"/>
        <w:autoSpaceDN w:val="0"/>
        <w:adjustRightInd w:val="0"/>
        <w:spacing w:before="20" w:after="20"/>
        <w:ind w:left="0" w:firstLine="357"/>
        <w:jc w:val="both"/>
        <w:rPr>
          <w:iCs/>
          <w:lang w:val="uk-UA"/>
        </w:rPr>
      </w:pPr>
      <w:r>
        <w:rPr>
          <w:iCs/>
          <w:lang w:val="uk-UA"/>
        </w:rPr>
        <w:tab/>
      </w:r>
      <w:r w:rsidRPr="00913EAC">
        <w:rPr>
          <w:iCs/>
          <w:lang w:val="uk-UA"/>
        </w:rPr>
        <w:t>Товариство визнає резерв під збитки для очікуваних кредитних збитків за фінансовим активом,</w:t>
      </w:r>
      <w:r>
        <w:rPr>
          <w:iCs/>
          <w:lang w:val="uk-UA"/>
        </w:rPr>
        <w:t xml:space="preserve"> </w:t>
      </w:r>
      <w:r w:rsidRPr="00913EAC">
        <w:rPr>
          <w:iCs/>
          <w:lang w:val="uk-UA"/>
        </w:rPr>
        <w:t>який обліковується за амортизованою вартістю.</w:t>
      </w:r>
      <w:r w:rsidRPr="00913EAC">
        <w:rPr>
          <w:iCs/>
          <w:lang w:val="uk-UA"/>
        </w:rPr>
        <w:cr/>
      </w:r>
      <w:r w:rsidR="00F25FB2" w:rsidRPr="00EC0EB5">
        <w:rPr>
          <w:iCs/>
          <w:lang w:val="uk-UA"/>
        </w:rPr>
        <w:t xml:space="preserve"> </w:t>
      </w:r>
    </w:p>
    <w:p w:rsidR="008042B7" w:rsidRPr="00DD57A1" w:rsidRDefault="008042B7" w:rsidP="008042B7">
      <w:pPr>
        <w:ind w:firstLine="567"/>
        <w:jc w:val="both"/>
        <w:rPr>
          <w:b/>
          <w:lang w:val="uk-UA"/>
        </w:rPr>
      </w:pPr>
      <w:r>
        <w:rPr>
          <w:b/>
          <w:lang w:val="uk-UA"/>
        </w:rPr>
        <w:t>3.</w:t>
      </w:r>
      <w:r w:rsidR="00D1381A">
        <w:rPr>
          <w:b/>
          <w:lang w:val="uk-UA"/>
        </w:rPr>
        <w:t>3</w:t>
      </w:r>
      <w:r>
        <w:rPr>
          <w:b/>
          <w:lang w:val="uk-UA"/>
        </w:rPr>
        <w:t>.</w:t>
      </w:r>
      <w:r w:rsidR="0041347B">
        <w:rPr>
          <w:b/>
          <w:lang w:val="uk-UA"/>
        </w:rPr>
        <w:t>2</w:t>
      </w:r>
      <w:r>
        <w:rPr>
          <w:b/>
          <w:lang w:val="uk-UA"/>
        </w:rPr>
        <w:t xml:space="preserve">. </w:t>
      </w:r>
      <w:r w:rsidRPr="00DD57A1">
        <w:rPr>
          <w:b/>
          <w:lang w:val="uk-UA"/>
        </w:rPr>
        <w:t>Грошові кошти та їх еквіваленти</w:t>
      </w:r>
    </w:p>
    <w:p w:rsidR="008042B7" w:rsidRDefault="008042B7" w:rsidP="00EA7DC6">
      <w:pPr>
        <w:ind w:firstLine="567"/>
        <w:jc w:val="both"/>
        <w:rPr>
          <w:rStyle w:val="hps"/>
          <w:lang w:val="uk-UA"/>
        </w:rPr>
      </w:pPr>
      <w:r w:rsidRPr="00DD57A1">
        <w:rPr>
          <w:rStyle w:val="hps"/>
          <w:lang w:val="uk-UA"/>
        </w:rPr>
        <w:t>Грошові кошти та їх еквіваленти включають кошти в касі та кошти на рахунках у банках.</w:t>
      </w:r>
    </w:p>
    <w:p w:rsidR="008042B7" w:rsidRPr="00DE406A" w:rsidRDefault="008042B7" w:rsidP="00EA7DC6">
      <w:pPr>
        <w:shd w:val="clear" w:color="auto" w:fill="FFFFFF"/>
        <w:spacing w:after="20"/>
        <w:ind w:firstLine="567"/>
        <w:jc w:val="both"/>
        <w:rPr>
          <w:lang w:val="uk-UA"/>
        </w:rPr>
      </w:pPr>
      <w:r w:rsidRPr="00DE406A">
        <w:rPr>
          <w:lang w:val="uk-UA"/>
        </w:rPr>
        <w:t>Еквіваленти грошових коштів – це короткострокові, високоліквідні інвестиції, які вільно конвертуються у відомі суми грошових коштів і яким притаманний незначний ризик зміни вартості. Інвестиція визначається зазвичай як еквівалент грошових коштів тільки в разі короткого строку погашення, наприклад протягом не більше ніж три місяці з дати придбання.</w:t>
      </w:r>
    </w:p>
    <w:p w:rsidR="008042B7" w:rsidRPr="00DE406A" w:rsidRDefault="008042B7" w:rsidP="00EA7DC6">
      <w:pPr>
        <w:shd w:val="clear" w:color="auto" w:fill="FFFFFF"/>
        <w:autoSpaceDE w:val="0"/>
        <w:autoSpaceDN w:val="0"/>
        <w:adjustRightInd w:val="0"/>
        <w:spacing w:after="20"/>
        <w:ind w:firstLine="567"/>
        <w:jc w:val="both"/>
        <w:rPr>
          <w:lang w:val="uk-UA"/>
        </w:rPr>
      </w:pPr>
      <w:r w:rsidRPr="00DE406A">
        <w:rPr>
          <w:lang w:val="uk-UA"/>
        </w:rPr>
        <w:t>Грошові кошти та їх еквіваленти визнаються за умови відповідності критеріям визнання активами.</w:t>
      </w:r>
    </w:p>
    <w:p w:rsidR="008042B7" w:rsidRDefault="008042B7" w:rsidP="00EA7DC6">
      <w:pPr>
        <w:pStyle w:val="ab"/>
        <w:shd w:val="clear" w:color="auto" w:fill="FFFFFF"/>
        <w:autoSpaceDE w:val="0"/>
        <w:autoSpaceDN w:val="0"/>
        <w:adjustRightInd w:val="0"/>
        <w:spacing w:before="20" w:after="20"/>
        <w:ind w:left="0" w:firstLine="567"/>
        <w:contextualSpacing w:val="0"/>
        <w:jc w:val="both"/>
        <w:rPr>
          <w:iCs/>
          <w:lang w:val="uk-UA"/>
        </w:rPr>
      </w:pPr>
      <w:r w:rsidRPr="00DE406A">
        <w:rPr>
          <w:lang w:val="uk-UA"/>
        </w:rPr>
        <w:t>Первісна та подальша оцінка гр</w:t>
      </w:r>
      <w:r>
        <w:rPr>
          <w:lang w:val="uk-UA"/>
        </w:rPr>
        <w:t xml:space="preserve">ошових коштів </w:t>
      </w:r>
      <w:r w:rsidRPr="00645C0D">
        <w:rPr>
          <w:lang w:val="uk-UA"/>
        </w:rPr>
        <w:t>та їх еквівалентів здійснюється</w:t>
      </w:r>
      <w:r w:rsidRPr="00DE406A">
        <w:rPr>
          <w:lang w:val="uk-UA"/>
        </w:rPr>
        <w:t xml:space="preserve"> зд</w:t>
      </w:r>
      <w:r>
        <w:rPr>
          <w:lang w:val="uk-UA"/>
        </w:rPr>
        <w:t>ійснюється за справедливою вартістю,</w:t>
      </w:r>
      <w:r w:rsidRPr="00B07951">
        <w:rPr>
          <w:sz w:val="20"/>
          <w:szCs w:val="20"/>
          <w:lang w:val="uk-UA"/>
        </w:rPr>
        <w:t xml:space="preserve"> </w:t>
      </w:r>
      <w:r w:rsidRPr="00B07951">
        <w:rPr>
          <w:lang w:val="uk-UA"/>
        </w:rPr>
        <w:t>яка дорівнює їх номінальній</w:t>
      </w:r>
    </w:p>
    <w:p w:rsidR="00E71AE0" w:rsidRDefault="00E71AE0" w:rsidP="00E10141">
      <w:pPr>
        <w:pStyle w:val="ab"/>
        <w:shd w:val="clear" w:color="auto" w:fill="FFFFFF"/>
        <w:autoSpaceDE w:val="0"/>
        <w:autoSpaceDN w:val="0"/>
        <w:adjustRightInd w:val="0"/>
        <w:spacing w:before="20" w:after="20" w:line="276" w:lineRule="auto"/>
        <w:ind w:left="0" w:firstLine="708"/>
        <w:jc w:val="both"/>
        <w:rPr>
          <w:iCs/>
          <w:lang w:val="uk-UA"/>
        </w:rPr>
      </w:pPr>
    </w:p>
    <w:p w:rsidR="00E71AE0" w:rsidRDefault="00E71AE0" w:rsidP="00E71AE0">
      <w:pPr>
        <w:ind w:firstLine="567"/>
        <w:jc w:val="both"/>
        <w:rPr>
          <w:b/>
          <w:lang w:val="uk-UA"/>
        </w:rPr>
      </w:pPr>
      <w:r>
        <w:rPr>
          <w:b/>
          <w:lang w:val="uk-UA"/>
        </w:rPr>
        <w:t>3.</w:t>
      </w:r>
      <w:r w:rsidR="00D1381A">
        <w:rPr>
          <w:b/>
          <w:lang w:val="uk-UA"/>
        </w:rPr>
        <w:t>3</w:t>
      </w:r>
      <w:r>
        <w:rPr>
          <w:b/>
          <w:lang w:val="uk-UA"/>
        </w:rPr>
        <w:t>.</w:t>
      </w:r>
      <w:r w:rsidR="0041347B">
        <w:rPr>
          <w:b/>
          <w:lang w:val="uk-UA"/>
        </w:rPr>
        <w:t>3</w:t>
      </w:r>
      <w:r>
        <w:rPr>
          <w:b/>
          <w:lang w:val="uk-UA"/>
        </w:rPr>
        <w:t xml:space="preserve">. </w:t>
      </w:r>
      <w:r w:rsidRPr="00DD57A1">
        <w:rPr>
          <w:b/>
          <w:lang w:val="uk-UA"/>
        </w:rPr>
        <w:t>Дебіторська заборгованість</w:t>
      </w:r>
    </w:p>
    <w:p w:rsidR="000D05BF" w:rsidRPr="000D05BF" w:rsidRDefault="000D05BF" w:rsidP="00EA7DC6">
      <w:pPr>
        <w:shd w:val="clear" w:color="auto" w:fill="FFFFFF"/>
        <w:autoSpaceDE w:val="0"/>
        <w:autoSpaceDN w:val="0"/>
        <w:adjustRightInd w:val="0"/>
        <w:ind w:firstLine="397"/>
        <w:jc w:val="both"/>
        <w:rPr>
          <w:lang w:val="uk-UA"/>
        </w:rPr>
      </w:pPr>
      <w:r w:rsidRPr="000D05BF">
        <w:rPr>
          <w:lang w:val="uk-UA"/>
        </w:rPr>
        <w:t>Визнання, класифікація та розкриття інформації щодо дебіторської заборгованості здійснюється відповідно до МСФЗ 7 «Фінансові інструменти: розкриття», МСБО 1 «Подання фінансових звітів», МСБО 32 «Фінансові інструменти: подання» та МСФЗ 9 «Фінансові інструменти».</w:t>
      </w:r>
    </w:p>
    <w:p w:rsidR="008042B7" w:rsidRPr="000A190E" w:rsidRDefault="008042B7" w:rsidP="00EA7DC6">
      <w:pPr>
        <w:shd w:val="clear" w:color="auto" w:fill="FFFFFF"/>
        <w:autoSpaceDE w:val="0"/>
        <w:autoSpaceDN w:val="0"/>
        <w:adjustRightInd w:val="0"/>
        <w:ind w:firstLine="397"/>
        <w:jc w:val="both"/>
        <w:rPr>
          <w:lang w:val="uk-UA"/>
        </w:rPr>
      </w:pPr>
      <w:r w:rsidRPr="000A190E">
        <w:rPr>
          <w:lang w:val="uk-UA"/>
        </w:rPr>
        <w:t xml:space="preserve">Безумовна дебіторська заборгованість визнається як актив тоді, коли Товариство стає стороною договору та, внаслідок цього, набуває юридичне право одержати грошові кошти. </w:t>
      </w:r>
    </w:p>
    <w:p w:rsidR="008042B7" w:rsidRPr="000A190E" w:rsidRDefault="008042B7" w:rsidP="00EA7DC6">
      <w:pPr>
        <w:shd w:val="clear" w:color="auto" w:fill="FFFFFF"/>
        <w:autoSpaceDE w:val="0"/>
        <w:autoSpaceDN w:val="0"/>
        <w:adjustRightInd w:val="0"/>
        <w:ind w:firstLine="397"/>
        <w:jc w:val="both"/>
        <w:rPr>
          <w:lang w:val="uk-UA"/>
        </w:rPr>
      </w:pPr>
      <w:r w:rsidRPr="000A190E">
        <w:rPr>
          <w:lang w:val="uk-UA"/>
        </w:rPr>
        <w:t xml:space="preserve"> Первісна оцінка дебіторської заборгованості здійснюється за справедливою вартістю.</w:t>
      </w:r>
    </w:p>
    <w:p w:rsidR="00E10141" w:rsidRPr="00DD57A1" w:rsidRDefault="008042B7" w:rsidP="00EA7DC6">
      <w:pPr>
        <w:pStyle w:val="11"/>
        <w:ind w:left="0"/>
        <w:jc w:val="both"/>
        <w:rPr>
          <w:lang w:val="uk-UA"/>
        </w:rPr>
      </w:pPr>
      <w:r>
        <w:rPr>
          <w:lang w:val="uk-UA"/>
        </w:rPr>
        <w:t xml:space="preserve">       </w:t>
      </w:r>
      <w:r w:rsidR="00E10141" w:rsidRPr="00DD57A1">
        <w:rPr>
          <w:lang w:val="uk-UA"/>
        </w:rPr>
        <w:t xml:space="preserve">Дебіторська заборгованість за договором фінансового кредиту і оцінюється при первісному визнанні за справедливою вартістю наданого фінансового кредиту, нарахованих відсотків та нарахованої пені. </w:t>
      </w:r>
    </w:p>
    <w:p w:rsidR="00E10141" w:rsidRPr="00DD57A1" w:rsidRDefault="00E10141" w:rsidP="00EA7DC6">
      <w:pPr>
        <w:pStyle w:val="11"/>
        <w:ind w:left="0" w:firstLine="567"/>
        <w:jc w:val="both"/>
        <w:rPr>
          <w:lang w:val="uk-UA"/>
        </w:rPr>
      </w:pPr>
      <w:r w:rsidRPr="00DD57A1">
        <w:rPr>
          <w:lang w:val="uk-UA"/>
        </w:rPr>
        <w:t>Балансова вартість дебіторської заборгованості за договорами фінансового кредиту перевіряється на предмет знецінення у випадках, коли події або обставини вказують на ймовірність того, що балансова вартість не буде відшкодована, а збиток від знецінення визнається у звіті про прибутки і збитки.</w:t>
      </w:r>
    </w:p>
    <w:p w:rsidR="00E10141" w:rsidRPr="00DD57A1" w:rsidRDefault="00E10141" w:rsidP="00EA7DC6">
      <w:pPr>
        <w:pStyle w:val="11"/>
        <w:ind w:left="0" w:firstLine="567"/>
        <w:jc w:val="both"/>
        <w:rPr>
          <w:lang w:val="uk-UA"/>
        </w:rPr>
      </w:pPr>
      <w:r w:rsidRPr="00DD57A1">
        <w:rPr>
          <w:lang w:val="uk-UA"/>
        </w:rPr>
        <w:t>Визнання дебіторської заборгованості по договорам фінансового кредиту припиняється у разі виконання критеріїв припинення визнання фінансових активів.</w:t>
      </w:r>
    </w:p>
    <w:p w:rsidR="00E10141" w:rsidRDefault="00916EDD" w:rsidP="00EA7DC6">
      <w:pPr>
        <w:pStyle w:val="11"/>
        <w:ind w:left="0" w:firstLine="567"/>
        <w:jc w:val="both"/>
        <w:rPr>
          <w:lang w:val="uk-UA"/>
        </w:rPr>
      </w:pPr>
      <w:r>
        <w:rPr>
          <w:lang w:val="uk-UA"/>
        </w:rPr>
        <w:t>Товариство</w:t>
      </w:r>
      <w:r w:rsidR="00E10141" w:rsidRPr="00DD57A1">
        <w:rPr>
          <w:lang w:val="uk-UA"/>
        </w:rPr>
        <w:t xml:space="preserve"> формує</w:t>
      </w:r>
      <w:r w:rsidR="004C34B3" w:rsidRPr="004C34B3">
        <w:t xml:space="preserve"> </w:t>
      </w:r>
      <w:r w:rsidR="004C34B3">
        <w:rPr>
          <w:lang w:val="uk-UA"/>
        </w:rPr>
        <w:t>р</w:t>
      </w:r>
      <w:r w:rsidR="004C34B3">
        <w:t>езерв кредитних збитків</w:t>
      </w:r>
      <w:r w:rsidR="00E10141" w:rsidRPr="00DD57A1">
        <w:rPr>
          <w:lang w:val="uk-UA"/>
        </w:rPr>
        <w:t xml:space="preserve"> </w:t>
      </w:r>
      <w:r w:rsidR="004C34B3">
        <w:rPr>
          <w:lang w:val="uk-UA"/>
        </w:rPr>
        <w:t>(</w:t>
      </w:r>
      <w:r w:rsidR="00E10141" w:rsidRPr="00DD57A1">
        <w:rPr>
          <w:lang w:val="uk-UA"/>
        </w:rPr>
        <w:t>страховий резерв</w:t>
      </w:r>
      <w:r w:rsidR="004C34B3">
        <w:rPr>
          <w:lang w:val="uk-UA"/>
        </w:rPr>
        <w:t xml:space="preserve"> - </w:t>
      </w:r>
      <w:r w:rsidR="00E32E80">
        <w:rPr>
          <w:lang w:val="uk-UA"/>
        </w:rPr>
        <w:t xml:space="preserve">резерв небанківських фінансових установ) </w:t>
      </w:r>
      <w:r w:rsidR="00E10141" w:rsidRPr="00DD57A1">
        <w:rPr>
          <w:lang w:val="uk-UA"/>
        </w:rPr>
        <w:t xml:space="preserve">за всіма видами кредитних операцій, включаючи нараховані за всіма цими операціями відсотки для відшкодування можливих втрат за всіма видами кредитних операцій. </w:t>
      </w:r>
    </w:p>
    <w:p w:rsidR="00830313" w:rsidRPr="00830313" w:rsidRDefault="00830313" w:rsidP="00EA7DC6">
      <w:pPr>
        <w:pStyle w:val="11"/>
        <w:ind w:left="0" w:firstLine="567"/>
        <w:jc w:val="both"/>
        <w:rPr>
          <w:lang w:val="uk-UA"/>
        </w:rPr>
      </w:pPr>
      <w:r w:rsidRPr="00830313">
        <w:rPr>
          <w:lang w:val="uk-UA"/>
        </w:rPr>
        <w:t xml:space="preserve">З метою визначення розміру страхового резерву елементи розрахункової бази страхового резерву класифікуються на основі професійного судження керівника ломбарду без врахування наявності забезпечення в одну з п'яти категорій ризику: </w:t>
      </w:r>
    </w:p>
    <w:p w:rsidR="00830313" w:rsidRPr="00830313" w:rsidRDefault="00830313" w:rsidP="00EA7DC6">
      <w:pPr>
        <w:pStyle w:val="11"/>
        <w:ind w:left="0" w:firstLine="567"/>
        <w:jc w:val="both"/>
        <w:rPr>
          <w:lang w:val="uk-UA"/>
        </w:rPr>
      </w:pPr>
      <w:r w:rsidRPr="00830313">
        <w:rPr>
          <w:lang w:val="uk-UA"/>
        </w:rPr>
        <w:t xml:space="preserve">перша категорія ризику - в діяльності клієнта (боржника) відсутні реальна та потенційна загрози збитків та є причини припускати, що клієнт (боржник) повністю і своєчасно виконає свої зобов'язання. Характеризується відсутністю кредитного ризику (вірогідність фінансових збитків у зв'язку з невиконанням клієнтом (боржником) зобов'язань дорівнює нулю). Строк виконання клієнтом (боржником) зобов'язань перед ломбардом ще не настав; граничне значення норми резервування – </w:t>
      </w:r>
      <w:r w:rsidR="008F5CBB">
        <w:rPr>
          <w:highlight w:val="yellow"/>
          <w:lang w:val="uk-UA"/>
        </w:rPr>
        <w:t>0%</w:t>
      </w:r>
      <w:r w:rsidR="001429C9" w:rsidRPr="001429C9">
        <w:rPr>
          <w:highlight w:val="yellow"/>
          <w:lang w:val="uk-UA"/>
        </w:rPr>
        <w:t>.</w:t>
      </w:r>
      <w:r w:rsidRPr="00830313">
        <w:rPr>
          <w:lang w:val="uk-UA"/>
        </w:rPr>
        <w:t>;</w:t>
      </w:r>
    </w:p>
    <w:p w:rsidR="00830313" w:rsidRPr="00830313" w:rsidRDefault="00830313" w:rsidP="00EA7DC6">
      <w:pPr>
        <w:pStyle w:val="11"/>
        <w:ind w:left="0" w:firstLine="567"/>
        <w:jc w:val="both"/>
        <w:rPr>
          <w:lang w:val="uk-UA"/>
        </w:rPr>
      </w:pPr>
      <w:r w:rsidRPr="00830313">
        <w:rPr>
          <w:lang w:val="uk-UA"/>
        </w:rPr>
        <w:t xml:space="preserve">друга категорія ризику - аналіз діяльності клієнта (боржника) виявив існування помірної потенційної загрози збитків. Характеризується помірним рівнем кредитного ризику (вірогідність фінансових збитків внаслідок невиконання або ж неналежного виконання клієнтом (боржником) своїх зобов'язань обумовлює знецінення заборгованості в розмірі від 1 до 20 відсотків). Період прострочення виконання клієнтом (боржником) зобов'язань перед ломбардом складає від 30 до 60 календарних днів; граничне значення норми резервування – </w:t>
      </w:r>
      <w:r w:rsidR="008F5CBB">
        <w:rPr>
          <w:lang w:val="uk-UA"/>
        </w:rPr>
        <w:t>20%</w:t>
      </w:r>
      <w:r w:rsidRPr="00830313">
        <w:rPr>
          <w:lang w:val="uk-UA"/>
        </w:rPr>
        <w:t>%;</w:t>
      </w:r>
    </w:p>
    <w:p w:rsidR="00830313" w:rsidRPr="00830313" w:rsidRDefault="00830313" w:rsidP="00EA7DC6">
      <w:pPr>
        <w:pStyle w:val="11"/>
        <w:ind w:left="0" w:firstLine="567"/>
        <w:jc w:val="both"/>
        <w:rPr>
          <w:lang w:val="uk-UA"/>
        </w:rPr>
      </w:pPr>
      <w:r w:rsidRPr="00830313">
        <w:rPr>
          <w:lang w:val="uk-UA"/>
        </w:rPr>
        <w:t xml:space="preserve">третя категорія ризику - аналіз діяльності клієнта (боржника) виявив існування серйозної потенційної чи помірної реальної загрози збитків. Характеризується значним кредитним ризиком (вірогідність збитків внаслідок невиконання або неналежного виконання клієнтом (боржником) зобов'язань обумовлює знецінення даного зобов'язання в розмірі від 21 до 50 відсотків). Період прострочення виконання клієнтом (боржником) зобов'язань перед ломбардом складає від 60 до 90 календарних днів; граничне значення норми резервування – </w:t>
      </w:r>
      <w:r w:rsidR="008F5CBB">
        <w:rPr>
          <w:lang w:val="uk-UA"/>
        </w:rPr>
        <w:t>50</w:t>
      </w:r>
      <w:r w:rsidRPr="00830313">
        <w:rPr>
          <w:lang w:val="uk-UA"/>
        </w:rPr>
        <w:t>%;</w:t>
      </w:r>
    </w:p>
    <w:p w:rsidR="00830313" w:rsidRPr="00830313" w:rsidRDefault="00830313" w:rsidP="00EA7DC6">
      <w:pPr>
        <w:pStyle w:val="11"/>
        <w:ind w:left="0" w:firstLine="567"/>
        <w:jc w:val="both"/>
        <w:rPr>
          <w:lang w:val="uk-UA"/>
        </w:rPr>
      </w:pPr>
      <w:r w:rsidRPr="00830313">
        <w:rPr>
          <w:lang w:val="uk-UA"/>
        </w:rPr>
        <w:t>четверта категорія ризику - аналіз діяльності клієнта (боржника) виявив одночасне існування потенційних та помірних загроз або суттєвих реальних загроз часткових збитків. Характеризується високим рівнем кредитного ризику (вірогідність фінансових збитків внаслідок невиконання або неналежного виконання клієнтом (боржником) своїх зобов'язань обумовлює їх знецінення в розмірі від 51 до 100 відсотків). Період прострочення виконання клієнтом (боржником) зобов'язань перед ломбардом складає від 90 до 180 календарних днів; граничне значення норми резервув</w:t>
      </w:r>
      <w:r w:rsidR="008F5CBB">
        <w:rPr>
          <w:lang w:val="uk-UA"/>
        </w:rPr>
        <w:t>ання –100</w:t>
      </w:r>
      <w:r w:rsidRPr="00830313">
        <w:rPr>
          <w:lang w:val="uk-UA"/>
        </w:rPr>
        <w:t>%;</w:t>
      </w:r>
    </w:p>
    <w:p w:rsidR="00830313" w:rsidRPr="00830313" w:rsidRDefault="00830313" w:rsidP="00EA7DC6">
      <w:pPr>
        <w:pStyle w:val="11"/>
        <w:ind w:left="0" w:firstLine="567"/>
        <w:jc w:val="both"/>
        <w:rPr>
          <w:lang w:val="uk-UA"/>
        </w:rPr>
      </w:pPr>
      <w:r w:rsidRPr="00830313">
        <w:rPr>
          <w:lang w:val="uk-UA"/>
        </w:rPr>
        <w:t>п'ята категорія ризику - аналіз діяльності клієнта (боржника) виявив, що вартість окремого елемента розрахункової бази страхового резерву буде повністю втрачена внаслідок невиконання клієнтом (боржником) договірних зобов'язань, обумовлює повне знецінення зобов'язання. Період прострочення виконання клієнтом (боржником) зобов'язань перед ломбардом складає більше 180 календарних днів; граничне значення норми резервування – 100%.</w:t>
      </w:r>
    </w:p>
    <w:p w:rsidR="00830313" w:rsidRPr="00830313" w:rsidRDefault="00830313" w:rsidP="00EA7DC6">
      <w:pPr>
        <w:pStyle w:val="11"/>
        <w:ind w:left="0" w:firstLine="567"/>
        <w:jc w:val="both"/>
        <w:rPr>
          <w:lang w:val="uk-UA"/>
        </w:rPr>
      </w:pPr>
      <w:r w:rsidRPr="00830313">
        <w:rPr>
          <w:lang w:val="uk-UA"/>
        </w:rPr>
        <w:t xml:space="preserve">Розрахункова база страхового резерву визначається за кредитними операціями, по кожній категорії ризику. </w:t>
      </w:r>
    </w:p>
    <w:p w:rsidR="00830313" w:rsidRPr="00830313" w:rsidRDefault="00830313" w:rsidP="00EA7DC6">
      <w:pPr>
        <w:pStyle w:val="11"/>
        <w:ind w:left="0" w:firstLine="567"/>
        <w:jc w:val="both"/>
        <w:rPr>
          <w:lang w:val="uk-UA"/>
        </w:rPr>
      </w:pPr>
      <w:r w:rsidRPr="00830313">
        <w:rPr>
          <w:lang w:val="uk-UA"/>
        </w:rPr>
        <w:t xml:space="preserve">Розрахункова величина страхового резерву по кожній категорії ризику визначається арифметичним добутком суми розрахункової бази страхового резерву на відповідну норму резервування. </w:t>
      </w:r>
    </w:p>
    <w:p w:rsidR="00830313" w:rsidRPr="00830313" w:rsidRDefault="00830313" w:rsidP="00EA7DC6">
      <w:pPr>
        <w:pStyle w:val="11"/>
        <w:ind w:left="0" w:firstLine="567"/>
        <w:jc w:val="both"/>
        <w:rPr>
          <w:lang w:val="uk-UA"/>
        </w:rPr>
      </w:pPr>
      <w:r w:rsidRPr="00830313">
        <w:rPr>
          <w:lang w:val="uk-UA"/>
        </w:rPr>
        <w:t xml:space="preserve">Загальна величина страхового резерву дорівнює арифметичній сумі величин розрахункового страхового резерву по кожній категорії ризику. </w:t>
      </w:r>
    </w:p>
    <w:p w:rsidR="00830313" w:rsidRPr="00830313" w:rsidRDefault="00830313" w:rsidP="00EA7DC6">
      <w:pPr>
        <w:pStyle w:val="11"/>
        <w:ind w:left="0" w:firstLine="567"/>
        <w:jc w:val="both"/>
        <w:rPr>
          <w:lang w:val="uk-UA"/>
        </w:rPr>
      </w:pPr>
      <w:r w:rsidRPr="00830313">
        <w:rPr>
          <w:lang w:val="uk-UA"/>
        </w:rPr>
        <w:t xml:space="preserve">Страховий резерв формується в межах суми боргу (балансової вартості активів, по яких існує ризик понесення збитків). </w:t>
      </w:r>
    </w:p>
    <w:p w:rsidR="00E10141" w:rsidRDefault="00E10141" w:rsidP="00EA7DC6">
      <w:pPr>
        <w:pStyle w:val="11"/>
        <w:ind w:left="0" w:firstLine="567"/>
        <w:jc w:val="both"/>
        <w:rPr>
          <w:lang w:val="uk-UA"/>
        </w:rPr>
      </w:pPr>
      <w:r w:rsidRPr="00DD57A1">
        <w:rPr>
          <w:lang w:val="uk-UA"/>
        </w:rPr>
        <w:t>Якщо відшкодування активу менше його балансової вартості, то балансова вартість активу зменшується до його  очікуваного відшкодування. Таке зменшення є збитком від зменшення корисності. Якщо сума очікуваного відшкодування більше балансової вартості ,то збиток від знецінення коригується в межах його накопиченої суми.</w:t>
      </w:r>
    </w:p>
    <w:p w:rsidR="008E633C" w:rsidRPr="008E633C" w:rsidRDefault="008E633C" w:rsidP="00EA7DC6">
      <w:pPr>
        <w:ind w:firstLine="567"/>
        <w:jc w:val="both"/>
        <w:rPr>
          <w:lang w:val="uk-UA"/>
        </w:rPr>
      </w:pPr>
      <w:r w:rsidRPr="00B9788A">
        <w:rPr>
          <w:lang w:val="uk-UA"/>
        </w:rPr>
        <w:t xml:space="preserve">Згідно з </w:t>
      </w:r>
      <w:hyperlink r:id="rId10" w:tgtFrame="_blank" w:tooltip="п. 5 Закону № 540" w:history="1">
        <w:r w:rsidRPr="00B9788A">
          <w:rPr>
            <w:lang w:val="uk-UA"/>
          </w:rPr>
          <w:t>п. 5 Закону № 540</w:t>
        </w:r>
      </w:hyperlink>
      <w:r w:rsidRPr="00B9788A">
        <w:rPr>
          <w:lang w:val="uk-UA"/>
        </w:rPr>
        <w:t xml:space="preserve"> до Прикінцевих і перехідних положень </w:t>
      </w:r>
      <w:r w:rsidR="00B9788A" w:rsidRPr="00B9788A">
        <w:rPr>
          <w:lang w:val="uk-UA"/>
        </w:rPr>
        <w:t>Ц</w:t>
      </w:r>
      <w:r w:rsidRPr="00B9788A">
        <w:rPr>
          <w:lang w:val="uk-UA"/>
        </w:rPr>
        <w:t xml:space="preserve">КУ додано </w:t>
      </w:r>
      <w:hyperlink r:id="rId11" w:tgtFrame="_blank" w:tooltip="п. 12" w:history="1">
        <w:r w:rsidRPr="00B9788A">
          <w:rPr>
            <w:lang w:val="uk-UA"/>
          </w:rPr>
          <w:t>п. 12</w:t>
        </w:r>
      </w:hyperlink>
      <w:r w:rsidRPr="00B9788A">
        <w:rPr>
          <w:lang w:val="uk-UA"/>
        </w:rPr>
        <w:t xml:space="preserve">, який звучить так: </w:t>
      </w:r>
      <w:r w:rsidRPr="00B9788A">
        <w:rPr>
          <w:bCs/>
          <w:lang w:val="uk-UA"/>
        </w:rPr>
        <w:t xml:space="preserve">під час дії </w:t>
      </w:r>
      <w:r w:rsidRPr="00B9788A">
        <w:rPr>
          <w:lang w:val="uk-UA"/>
        </w:rPr>
        <w:t xml:space="preserve">карантину, встановленого Кабміном з метою запобігання поширенню коронавірусної хвороби (COVID-19), строки, встановлені </w:t>
      </w:r>
      <w:hyperlink r:id="rId12" w:tgtFrame="_blank" w:tooltip="ст. 257, 258" w:history="1">
        <w:r w:rsidRPr="00B9788A">
          <w:rPr>
            <w:lang w:val="uk-UA"/>
          </w:rPr>
          <w:t>ст. 257, 258</w:t>
        </w:r>
      </w:hyperlink>
      <w:r w:rsidRPr="00B9788A">
        <w:rPr>
          <w:lang w:val="uk-UA"/>
        </w:rPr>
        <w:t xml:space="preserve">, </w:t>
      </w:r>
      <w:hyperlink r:id="rId13" w:tgtFrame="_blank" w:tooltip="362" w:history="1">
        <w:r w:rsidRPr="00B9788A">
          <w:rPr>
            <w:lang w:val="uk-UA"/>
          </w:rPr>
          <w:t>362</w:t>
        </w:r>
      </w:hyperlink>
      <w:r w:rsidRPr="00B9788A">
        <w:rPr>
          <w:lang w:val="uk-UA"/>
        </w:rPr>
        <w:t xml:space="preserve">, </w:t>
      </w:r>
      <w:hyperlink r:id="rId14" w:tgtFrame="_blank" w:tooltip="559" w:history="1">
        <w:r w:rsidRPr="00B9788A">
          <w:rPr>
            <w:lang w:val="uk-UA"/>
          </w:rPr>
          <w:t>559</w:t>
        </w:r>
      </w:hyperlink>
      <w:r w:rsidRPr="00B9788A">
        <w:rPr>
          <w:lang w:val="uk-UA"/>
        </w:rPr>
        <w:t xml:space="preserve">, </w:t>
      </w:r>
      <w:hyperlink r:id="rId15" w:tgtFrame="_blank" w:tooltip="681" w:history="1">
        <w:r w:rsidRPr="00B9788A">
          <w:rPr>
            <w:lang w:val="uk-UA"/>
          </w:rPr>
          <w:t>681</w:t>
        </w:r>
      </w:hyperlink>
      <w:r w:rsidRPr="00B9788A">
        <w:rPr>
          <w:lang w:val="uk-UA"/>
        </w:rPr>
        <w:t xml:space="preserve">, </w:t>
      </w:r>
      <w:hyperlink r:id="rId16" w:tgtFrame="_blank" w:tooltip="728" w:history="1">
        <w:r w:rsidRPr="00B9788A">
          <w:rPr>
            <w:lang w:val="uk-UA"/>
          </w:rPr>
          <w:t>728</w:t>
        </w:r>
      </w:hyperlink>
      <w:r w:rsidRPr="00B9788A">
        <w:rPr>
          <w:lang w:val="uk-UA"/>
        </w:rPr>
        <w:t xml:space="preserve">, </w:t>
      </w:r>
      <w:hyperlink r:id="rId17" w:tgtFrame="_blank" w:tooltip="786" w:history="1">
        <w:r w:rsidRPr="00B9788A">
          <w:rPr>
            <w:lang w:val="uk-UA"/>
          </w:rPr>
          <w:t>786</w:t>
        </w:r>
      </w:hyperlink>
      <w:r w:rsidRPr="00B9788A">
        <w:rPr>
          <w:lang w:val="uk-UA"/>
        </w:rPr>
        <w:t xml:space="preserve">, </w:t>
      </w:r>
      <w:hyperlink r:id="rId18" w:tgtFrame="_blank" w:tooltip="1293 цього Кодексу" w:history="1">
        <w:r w:rsidRPr="00B9788A">
          <w:rPr>
            <w:lang w:val="uk-UA"/>
          </w:rPr>
          <w:t>1293 цього Кодексу</w:t>
        </w:r>
      </w:hyperlink>
      <w:r w:rsidRPr="00B9788A">
        <w:rPr>
          <w:lang w:val="uk-UA"/>
        </w:rPr>
        <w:t xml:space="preserve">, продовжуються </w:t>
      </w:r>
      <w:r w:rsidRPr="00B9788A">
        <w:rPr>
          <w:bCs/>
          <w:lang w:val="uk-UA"/>
        </w:rPr>
        <w:t>на</w:t>
      </w:r>
      <w:r w:rsidRPr="00AA3F57">
        <w:rPr>
          <w:bCs/>
          <w:lang w:val="uk-UA"/>
        </w:rPr>
        <w:t xml:space="preserve"> строк дії</w:t>
      </w:r>
      <w:r>
        <w:rPr>
          <w:b/>
          <w:bCs/>
          <w:lang w:val="uk-UA"/>
        </w:rPr>
        <w:t xml:space="preserve"> </w:t>
      </w:r>
      <w:r w:rsidRPr="008E633C">
        <w:rPr>
          <w:lang w:val="uk-UA"/>
        </w:rPr>
        <w:t>такого карантину. Безнадійна дебіторська</w:t>
      </w:r>
      <w:r>
        <w:rPr>
          <w:lang w:val="uk-UA"/>
        </w:rPr>
        <w:t xml:space="preserve"> заборгованість </w:t>
      </w:r>
      <w:r w:rsidRPr="00DD57A1">
        <w:rPr>
          <w:lang w:val="uk-UA"/>
        </w:rPr>
        <w:t xml:space="preserve">за договорами фінансового кредиту </w:t>
      </w:r>
      <w:r w:rsidRPr="008E633C">
        <w:rPr>
          <w:lang w:val="uk-UA"/>
        </w:rPr>
        <w:t xml:space="preserve">списується за рахунок резерву небанківських фінансових установ, тому факт списання заборгованості, забезпеченої </w:t>
      </w:r>
      <w:r w:rsidR="00AA3F57">
        <w:rPr>
          <w:lang w:val="uk-UA"/>
        </w:rPr>
        <w:t>резервом</w:t>
      </w:r>
      <w:r w:rsidRPr="008E633C">
        <w:rPr>
          <w:lang w:val="uk-UA"/>
        </w:rPr>
        <w:t xml:space="preserve"> небанківських фінансових установ, на бухгалтерський і фінансовий результат ніяк не впливає.</w:t>
      </w:r>
    </w:p>
    <w:p w:rsidR="008E633C" w:rsidRPr="008E633C" w:rsidRDefault="008E633C" w:rsidP="00830313">
      <w:pPr>
        <w:ind w:firstLine="567"/>
        <w:jc w:val="both"/>
        <w:rPr>
          <w:b/>
          <w:lang w:val="uk-UA"/>
        </w:rPr>
      </w:pPr>
    </w:p>
    <w:p w:rsidR="008042B7" w:rsidRPr="008042B7" w:rsidRDefault="008042B7" w:rsidP="008042B7">
      <w:pPr>
        <w:ind w:firstLine="567"/>
        <w:jc w:val="both"/>
        <w:rPr>
          <w:b/>
          <w:lang w:val="uk-UA"/>
        </w:rPr>
      </w:pPr>
      <w:r>
        <w:rPr>
          <w:b/>
          <w:lang w:val="uk-UA"/>
        </w:rPr>
        <w:t>3.</w:t>
      </w:r>
      <w:r w:rsidR="00D1381A">
        <w:rPr>
          <w:b/>
          <w:lang w:val="uk-UA"/>
        </w:rPr>
        <w:t>3</w:t>
      </w:r>
      <w:r>
        <w:rPr>
          <w:b/>
          <w:lang w:val="uk-UA"/>
        </w:rPr>
        <w:t>.</w:t>
      </w:r>
      <w:r w:rsidR="00C17FB4">
        <w:rPr>
          <w:b/>
          <w:lang w:val="uk-UA"/>
        </w:rPr>
        <w:t>4</w:t>
      </w:r>
      <w:r>
        <w:rPr>
          <w:b/>
          <w:lang w:val="uk-UA"/>
        </w:rPr>
        <w:t>. Ф</w:t>
      </w:r>
      <w:r w:rsidRPr="00E71AE0">
        <w:rPr>
          <w:b/>
          <w:lang w:val="uk-UA"/>
        </w:rPr>
        <w:t>інансові активи</w:t>
      </w:r>
      <w:r w:rsidRPr="00E71AE0">
        <w:rPr>
          <w:b/>
        </w:rPr>
        <w:t>,</w:t>
      </w:r>
      <w:r w:rsidRPr="00E71AE0">
        <w:rPr>
          <w:b/>
          <w:lang w:val="uk-UA"/>
        </w:rPr>
        <w:t xml:space="preserve"> що оцінюються за справедливою вартістю, з </w:t>
      </w:r>
      <w:r w:rsidRPr="008042B7">
        <w:rPr>
          <w:b/>
          <w:lang w:val="uk-UA"/>
        </w:rPr>
        <w:t xml:space="preserve">відображенням результату переоцінки у сукупному доході </w:t>
      </w:r>
    </w:p>
    <w:p w:rsidR="008042B7" w:rsidRPr="00C54A11" w:rsidRDefault="008042B7" w:rsidP="00EA7DC6">
      <w:pPr>
        <w:ind w:firstLine="567"/>
        <w:jc w:val="both"/>
        <w:rPr>
          <w:lang w:val="uk-UA"/>
        </w:rPr>
      </w:pPr>
      <w:r w:rsidRPr="00C54A11">
        <w:rPr>
          <w:lang w:val="uk-UA"/>
        </w:rPr>
        <w:t>До фінансових активів, оцінених за справедливою вартістю з відображенням результату переоцінки у сукупному доході, належать фінансові активи (акції), придбані з метою збільшення їх справедливої вартості у довгостроковій перспективі, тобто активи, що мають намір утримувати у період більше року.</w:t>
      </w:r>
    </w:p>
    <w:p w:rsidR="008042B7" w:rsidRDefault="008042B7" w:rsidP="00EA7DC6">
      <w:pPr>
        <w:ind w:firstLine="567"/>
        <w:jc w:val="both"/>
        <w:rPr>
          <w:lang w:val="uk-UA"/>
        </w:rPr>
      </w:pPr>
      <w:r>
        <w:rPr>
          <w:lang w:val="uk-UA"/>
        </w:rPr>
        <w:t xml:space="preserve">  </w:t>
      </w:r>
      <w:r w:rsidRPr="00C54A11">
        <w:rPr>
          <w:lang w:val="uk-UA"/>
        </w:rPr>
        <w:t>Після первісного визнання Товариство оцінює їх за справедливою вартістю</w:t>
      </w:r>
    </w:p>
    <w:p w:rsidR="008042B7" w:rsidRPr="00C54A11" w:rsidRDefault="008042B7" w:rsidP="00EA7DC6">
      <w:pPr>
        <w:pStyle w:val="a7"/>
        <w:spacing w:before="0" w:beforeAutospacing="0" w:after="0" w:afterAutospacing="0"/>
        <w:ind w:right="-209" w:firstLine="709"/>
        <w:jc w:val="both"/>
        <w:rPr>
          <w:lang w:val="uk-UA"/>
        </w:rPr>
      </w:pPr>
      <w:r>
        <w:rPr>
          <w:lang w:val="uk-UA"/>
        </w:rPr>
        <w:t>О</w:t>
      </w:r>
      <w:r w:rsidRPr="00C54A11">
        <w:rPr>
          <w:lang w:val="uk-UA"/>
        </w:rPr>
        <w:t>цінка акцій, що входять до складу активів Товариства не перебувають у біржовому списку організатора торгівлі і при цьому не мають визначеної ціни найкращої заявки на купівлю на дату оцінки, здійснюється за останньою балансовою вартістю.</w:t>
      </w:r>
    </w:p>
    <w:p w:rsidR="008042B7" w:rsidRPr="00C54A11" w:rsidRDefault="008042B7" w:rsidP="00EA7DC6">
      <w:pPr>
        <w:pStyle w:val="a7"/>
        <w:spacing w:before="0" w:beforeAutospacing="0" w:after="0" w:afterAutospacing="0"/>
        <w:ind w:right="-209" w:firstLine="709"/>
        <w:jc w:val="both"/>
        <w:rPr>
          <w:lang w:val="uk-UA"/>
        </w:rPr>
      </w:pPr>
      <w:r w:rsidRPr="00C54A11">
        <w:rPr>
          <w:lang w:val="uk-UA"/>
        </w:rPr>
        <w:t>Для оцінки акцій, що входять до складу активів Товариства та не перебувають у біржовому списку організатора торгівлі, та паїв (часток) господарських товариств за обмежених обставин наближеною оцінкою справедливої вартості може бути собівартість.</w:t>
      </w:r>
      <w:r>
        <w:rPr>
          <w:lang w:val="uk-UA"/>
        </w:rPr>
        <w:t xml:space="preserve"> Це може бути тоді, коли наявної останньої інформації недостатньо,щоб визначити справедливу вартість, або коли існує широкий діапазон можливих оцінок справедливої вартості, а собівартість є найкращою оцінкою справедливої вартості у цьому діапазоні.</w:t>
      </w:r>
    </w:p>
    <w:p w:rsidR="008042B7" w:rsidRDefault="008042B7" w:rsidP="00EA7DC6">
      <w:pPr>
        <w:ind w:firstLine="567"/>
        <w:jc w:val="both"/>
        <w:rPr>
          <w:lang w:val="uk-UA"/>
        </w:rPr>
      </w:pPr>
      <w:r w:rsidRPr="00DD57A1">
        <w:rPr>
          <w:lang w:val="uk-UA"/>
        </w:rPr>
        <w:t>Станом на 3</w:t>
      </w:r>
      <w:r>
        <w:rPr>
          <w:lang w:val="uk-UA"/>
        </w:rPr>
        <w:t>1</w:t>
      </w:r>
      <w:r w:rsidRPr="00DD57A1">
        <w:rPr>
          <w:lang w:val="uk-UA"/>
        </w:rPr>
        <w:t xml:space="preserve"> </w:t>
      </w:r>
      <w:r>
        <w:rPr>
          <w:lang w:val="uk-UA"/>
        </w:rPr>
        <w:t>грудня</w:t>
      </w:r>
      <w:r w:rsidRPr="00DD57A1">
        <w:rPr>
          <w:lang w:val="uk-UA"/>
        </w:rPr>
        <w:t xml:space="preserve"> 20</w:t>
      </w:r>
      <w:r w:rsidR="003D1100">
        <w:rPr>
          <w:lang w:val="uk-UA"/>
        </w:rPr>
        <w:t>2</w:t>
      </w:r>
      <w:r w:rsidR="003C6D9D" w:rsidRPr="003C6D9D">
        <w:t>1</w:t>
      </w:r>
      <w:r w:rsidRPr="00DD57A1">
        <w:rPr>
          <w:lang w:val="uk-UA"/>
        </w:rPr>
        <w:t xml:space="preserve"> року всі фінансові активи</w:t>
      </w:r>
      <w:r w:rsidR="00C17FB4">
        <w:rPr>
          <w:lang w:val="uk-UA"/>
        </w:rPr>
        <w:t>Товариства</w:t>
      </w:r>
      <w:r w:rsidRPr="00DD57A1">
        <w:rPr>
          <w:lang w:val="uk-UA"/>
        </w:rPr>
        <w:t xml:space="preserve"> були віднесені до категорії «кредити і дебіторська заборгованість», фінансові активи для подальшого продажу, фінансові активи за справедливою вартістю.</w:t>
      </w:r>
    </w:p>
    <w:p w:rsidR="006170AB" w:rsidRDefault="006170AB" w:rsidP="008042B7">
      <w:pPr>
        <w:ind w:firstLine="567"/>
        <w:jc w:val="both"/>
        <w:rPr>
          <w:lang w:val="uk-UA"/>
        </w:rPr>
      </w:pPr>
    </w:p>
    <w:p w:rsidR="003E0370" w:rsidRDefault="003E0370" w:rsidP="008042B7">
      <w:pPr>
        <w:ind w:firstLine="567"/>
        <w:jc w:val="both"/>
        <w:rPr>
          <w:b/>
          <w:lang w:val="uk-UA"/>
        </w:rPr>
      </w:pPr>
      <w:r w:rsidRPr="003E0370">
        <w:rPr>
          <w:b/>
          <w:lang w:val="uk-UA"/>
        </w:rPr>
        <w:t>3.3.</w:t>
      </w:r>
      <w:r w:rsidR="00C17FB4">
        <w:rPr>
          <w:b/>
          <w:lang w:val="uk-UA"/>
        </w:rPr>
        <w:t>5</w:t>
      </w:r>
      <w:r w:rsidRPr="003E0370">
        <w:rPr>
          <w:b/>
          <w:lang w:val="uk-UA"/>
        </w:rPr>
        <w:t>. Фінансові активи, що оцінюються за амортизованою собівартістю</w:t>
      </w:r>
    </w:p>
    <w:p w:rsidR="003E0370" w:rsidRDefault="003E0370" w:rsidP="00EA7DC6">
      <w:pPr>
        <w:jc w:val="both"/>
        <w:rPr>
          <w:lang w:val="uk-UA"/>
        </w:rPr>
      </w:pPr>
      <w:r>
        <w:rPr>
          <w:lang w:val="uk-UA"/>
        </w:rPr>
        <w:tab/>
      </w:r>
      <w:r w:rsidRPr="003E0370">
        <w:rPr>
          <w:lang w:val="uk-UA"/>
        </w:rPr>
        <w:t xml:space="preserve">До фінансових активів, що оцінюються за амортизованою собівартістю </w:t>
      </w:r>
      <w:r>
        <w:rPr>
          <w:lang w:val="uk-UA"/>
        </w:rPr>
        <w:t>Товариство</w:t>
      </w:r>
      <w:r w:rsidRPr="003E0370">
        <w:rPr>
          <w:lang w:val="uk-UA"/>
        </w:rPr>
        <w:t xml:space="preserve"> відносить облігації, депозити, дебіторську заборгованість, у тому числі позики, та векселі.</w:t>
      </w:r>
    </w:p>
    <w:p w:rsidR="003E0370" w:rsidRDefault="003E0370" w:rsidP="00EA7DC6">
      <w:pPr>
        <w:jc w:val="both"/>
        <w:rPr>
          <w:lang w:val="uk-UA"/>
        </w:rPr>
      </w:pPr>
      <w:r>
        <w:rPr>
          <w:lang w:val="uk-UA"/>
        </w:rPr>
        <w:tab/>
      </w:r>
      <w:r>
        <w:t>Після первісного визнання Підприємство оцінює їх за амортизованою собівартістю, застосовуючи метод ефективного відсотка.</w:t>
      </w:r>
    </w:p>
    <w:p w:rsidR="003E0370" w:rsidRDefault="003E0370" w:rsidP="00EA7DC6">
      <w:pPr>
        <w:jc w:val="both"/>
        <w:rPr>
          <w:lang w:val="uk-UA"/>
        </w:rPr>
      </w:pPr>
      <w:r>
        <w:rPr>
          <w:lang w:val="uk-UA"/>
        </w:rPr>
        <w:tab/>
      </w:r>
      <w:r>
        <w:t>Застосовуючи аналіз дисконтованих грошових потоків, Підприємство використовує одну чи кілька ставок дисконту, котрі відповідають переважаючим на ринку нормам доходу для фінансових інструментів, які мають в основному подібні умови і характеристики, включаючи кредитну якість інструмента, залишок строку, протягом якого ставка відсотка за контрактом є фіксованою, а також залишок строку до погашення основної суми та валюту, в якій здійснюватимуться платежі.</w:t>
      </w:r>
    </w:p>
    <w:p w:rsidR="003E0370" w:rsidRDefault="003E0370" w:rsidP="00EA7DC6">
      <w:pPr>
        <w:jc w:val="both"/>
        <w:rPr>
          <w:lang w:val="uk-UA"/>
        </w:rPr>
      </w:pPr>
      <w:r>
        <w:rPr>
          <w:lang w:val="uk-UA"/>
        </w:rPr>
        <w:tab/>
      </w:r>
      <w:r>
        <w:t>Підприємство оцінює станом на кожну звітну дату резерв під збитки за фінансовим інструментом у розмірі, що дорівнює:</w:t>
      </w:r>
    </w:p>
    <w:p w:rsidR="003E0370" w:rsidRDefault="003E0370" w:rsidP="00EA7DC6">
      <w:pPr>
        <w:jc w:val="both"/>
        <w:rPr>
          <w:lang w:val="uk-UA"/>
        </w:rPr>
      </w:pPr>
      <w:r>
        <w:t xml:space="preserve"> - 12-місячним очікуваним кредитним збиткам у разі, якщо кредитний ризик на звітну дату не зазнав значного зростання з моменту первісного визнання; </w:t>
      </w:r>
    </w:p>
    <w:p w:rsidR="003E0370" w:rsidRDefault="003E0370" w:rsidP="00EA7DC6">
      <w:pPr>
        <w:jc w:val="both"/>
        <w:rPr>
          <w:lang w:val="uk-UA"/>
        </w:rPr>
      </w:pPr>
      <w:r>
        <w:t>- очікуваним кредитним збиткам за весь строк дії фінансового інструменту, якщо кредитний ризик за таким фінансовим інструментом значно зріс із моменту первісного визнання.</w:t>
      </w:r>
    </w:p>
    <w:p w:rsidR="003E0370" w:rsidRDefault="003E0370" w:rsidP="00EA7DC6">
      <w:pPr>
        <w:jc w:val="both"/>
        <w:rPr>
          <w:lang w:val="uk-UA"/>
        </w:rPr>
      </w:pPr>
      <w:r>
        <w:rPr>
          <w:lang w:val="uk-UA"/>
        </w:rPr>
        <w:tab/>
      </w:r>
      <w:r>
        <w:t xml:space="preserve">У випадку фінансових активів кредитним збитком є теперішня вартість різниці між договірними грошовими потоками, належними до сплати на користь </w:t>
      </w:r>
      <w:r>
        <w:rPr>
          <w:lang w:val="uk-UA"/>
        </w:rPr>
        <w:t>Товариства</w:t>
      </w:r>
      <w:r>
        <w:t xml:space="preserve"> за договором; і грошовими потоками, які </w:t>
      </w:r>
      <w:r>
        <w:rPr>
          <w:lang w:val="uk-UA"/>
        </w:rPr>
        <w:t>Товариство</w:t>
      </w:r>
      <w:r>
        <w:t xml:space="preserve"> очікує одержати на свою користь.</w:t>
      </w:r>
    </w:p>
    <w:p w:rsidR="005D5FB2" w:rsidRDefault="003E0370" w:rsidP="00EA7DC6">
      <w:pPr>
        <w:jc w:val="both"/>
        <w:rPr>
          <w:lang w:val="uk-UA"/>
        </w:rPr>
      </w:pPr>
      <w:r>
        <w:rPr>
          <w:lang w:val="uk-UA"/>
        </w:rPr>
        <w:tab/>
        <w:t>Товариство</w:t>
      </w:r>
      <w:r>
        <w:t xml:space="preserve"> може зробити припущення про те, що кредитний ризик за фінансовим інструментом не зазнав значного зростання з моменту первісного визнання, якщо було з'ясовано, що фінансовий інструмент має низький рівень кредитного ризику станом на звітну дату.</w:t>
      </w:r>
    </w:p>
    <w:p w:rsidR="003E0370" w:rsidRDefault="003E0370" w:rsidP="00EA7DC6">
      <w:pPr>
        <w:jc w:val="both"/>
        <w:rPr>
          <w:lang w:val="uk-UA"/>
        </w:rPr>
      </w:pPr>
      <w:r>
        <w:rPr>
          <w:lang w:val="uk-UA"/>
        </w:rPr>
        <w:tab/>
      </w:r>
      <w:r w:rsidRPr="003E0370">
        <w:rPr>
          <w:lang w:val="uk-UA"/>
        </w:rPr>
        <w:t xml:space="preserve">У випадку фінансового активу, що є кредитно-знеціненим станом на звітну дату, але не є придбаним або створеним кредитно-знеціненим фінансовим активом, </w:t>
      </w:r>
      <w:r>
        <w:rPr>
          <w:lang w:val="uk-UA"/>
        </w:rPr>
        <w:t>Товариство</w:t>
      </w:r>
      <w:r w:rsidRPr="003E0370">
        <w:rPr>
          <w:lang w:val="uk-UA"/>
        </w:rPr>
        <w:t xml:space="preserve"> оцінює очікувані кредитні збитки як різницю між валовою балансовою вартістю активу та теперішньою вартістю очікуваних майбутніх грошових потоків, дисконтованою за первісною ефективною ставкою відсотка за фінансовим активом. </w:t>
      </w:r>
      <w:r>
        <w:t>Будь-яке коригування визнається в прибутку або збитку як прибуток або збиток від зменшення корисності</w:t>
      </w:r>
      <w:r>
        <w:rPr>
          <w:lang w:val="uk-UA"/>
        </w:rPr>
        <w:t>.</w:t>
      </w:r>
    </w:p>
    <w:p w:rsidR="003E0370" w:rsidRPr="00DD57A1" w:rsidRDefault="003E0370" w:rsidP="008042B7">
      <w:pPr>
        <w:ind w:firstLine="567"/>
        <w:jc w:val="both"/>
        <w:rPr>
          <w:lang w:val="uk-UA"/>
        </w:rPr>
      </w:pPr>
    </w:p>
    <w:p w:rsidR="006170AB" w:rsidRDefault="006170AB" w:rsidP="006170AB">
      <w:pPr>
        <w:ind w:firstLine="567"/>
        <w:jc w:val="both"/>
        <w:rPr>
          <w:b/>
          <w:lang w:val="uk-UA"/>
        </w:rPr>
      </w:pPr>
      <w:r>
        <w:rPr>
          <w:b/>
          <w:lang w:val="uk-UA"/>
        </w:rPr>
        <w:t>3.</w:t>
      </w:r>
      <w:r w:rsidR="00D1381A">
        <w:rPr>
          <w:b/>
          <w:lang w:val="uk-UA"/>
        </w:rPr>
        <w:t>4</w:t>
      </w:r>
      <w:r>
        <w:rPr>
          <w:b/>
          <w:lang w:val="uk-UA"/>
        </w:rPr>
        <w:t xml:space="preserve">. </w:t>
      </w:r>
      <w:r w:rsidRPr="00482B77">
        <w:rPr>
          <w:b/>
          <w:bCs/>
          <w:spacing w:val="-2"/>
          <w:lang w:val="uk-UA"/>
        </w:rPr>
        <w:t>Облікові політики щодо основних засобів та нематеріальних активів</w:t>
      </w:r>
      <w:r>
        <w:rPr>
          <w:b/>
          <w:bCs/>
          <w:spacing w:val="-2"/>
          <w:lang w:val="uk-UA"/>
        </w:rPr>
        <w:t>, запас</w:t>
      </w:r>
      <w:r w:rsidR="0041347B">
        <w:rPr>
          <w:b/>
          <w:bCs/>
          <w:spacing w:val="-2"/>
          <w:lang w:val="uk-UA"/>
        </w:rPr>
        <w:t>ів</w:t>
      </w:r>
    </w:p>
    <w:p w:rsidR="0041347B" w:rsidRDefault="0041347B" w:rsidP="00C429BC">
      <w:pPr>
        <w:ind w:firstLine="567"/>
        <w:jc w:val="both"/>
        <w:rPr>
          <w:b/>
          <w:lang w:val="uk-UA"/>
        </w:rPr>
      </w:pPr>
    </w:p>
    <w:p w:rsidR="005E61E5" w:rsidRPr="00DD57A1" w:rsidRDefault="006170AB" w:rsidP="00C429BC">
      <w:pPr>
        <w:ind w:firstLine="567"/>
        <w:jc w:val="both"/>
        <w:rPr>
          <w:b/>
          <w:lang w:val="uk-UA"/>
        </w:rPr>
      </w:pPr>
      <w:r>
        <w:rPr>
          <w:b/>
          <w:lang w:val="uk-UA"/>
        </w:rPr>
        <w:t>3.</w:t>
      </w:r>
      <w:r w:rsidR="00D1381A">
        <w:rPr>
          <w:b/>
          <w:lang w:val="uk-UA"/>
        </w:rPr>
        <w:t>4</w:t>
      </w:r>
      <w:r>
        <w:rPr>
          <w:b/>
          <w:lang w:val="uk-UA"/>
        </w:rPr>
        <w:t xml:space="preserve">.1. </w:t>
      </w:r>
      <w:r w:rsidR="00436E64" w:rsidRPr="00DD57A1">
        <w:rPr>
          <w:b/>
          <w:lang w:val="uk-UA"/>
        </w:rPr>
        <w:t>Основні</w:t>
      </w:r>
      <w:r w:rsidR="005E61E5" w:rsidRPr="00DD57A1">
        <w:rPr>
          <w:b/>
          <w:lang w:val="uk-UA"/>
        </w:rPr>
        <w:t xml:space="preserve"> засоби</w:t>
      </w:r>
    </w:p>
    <w:p w:rsidR="00A05051" w:rsidRDefault="00A05051" w:rsidP="00EA7DC6">
      <w:pPr>
        <w:ind w:firstLine="567"/>
        <w:jc w:val="both"/>
        <w:rPr>
          <w:lang w:val="uk-UA"/>
        </w:rPr>
      </w:pPr>
      <w:r w:rsidRPr="00A05051">
        <w:rPr>
          <w:lang w:val="uk-UA"/>
        </w:rPr>
        <w:t>Основні засоби Товариства враховуються і відображаються у фінансовій звітності відповідно до МСБО 16 «Основні засоби».</w:t>
      </w:r>
    </w:p>
    <w:p w:rsidR="00EF175A" w:rsidRPr="003C6D9D" w:rsidRDefault="00EF175A" w:rsidP="00EA7DC6">
      <w:pPr>
        <w:ind w:firstLine="567"/>
        <w:jc w:val="both"/>
        <w:rPr>
          <w:lang w:val="uk-UA"/>
        </w:rPr>
      </w:pPr>
      <w:r>
        <w:rPr>
          <w:lang w:val="uk-UA"/>
        </w:rPr>
        <w:t xml:space="preserve">Товариство визнає матеріальний об’єкт основним засобом, якщо він утримується з метою використання їх у процесі своєї діяльності, надання послуг, або для здійснення адміністративних і соціально-культурних функцій, очікуваний строк корисного використання (експлуатації) яких більше одного року та вартість яких більше </w:t>
      </w:r>
      <w:r w:rsidR="003C6D9D" w:rsidRPr="003C6D9D">
        <w:rPr>
          <w:lang w:val="uk-UA"/>
        </w:rPr>
        <w:t>20</w:t>
      </w:r>
      <w:r>
        <w:rPr>
          <w:lang w:val="uk-UA"/>
        </w:rPr>
        <w:t xml:space="preserve"> 000,00 грн</w:t>
      </w:r>
      <w:r w:rsidR="003C6D9D" w:rsidRPr="003C6D9D">
        <w:rPr>
          <w:lang w:val="uk-UA"/>
        </w:rPr>
        <w:t>.</w:t>
      </w:r>
    </w:p>
    <w:p w:rsidR="005E61E5" w:rsidRPr="00DD57A1" w:rsidRDefault="003754BE" w:rsidP="00EA7DC6">
      <w:pPr>
        <w:ind w:firstLine="567"/>
        <w:jc w:val="both"/>
        <w:rPr>
          <w:lang w:val="uk-UA"/>
        </w:rPr>
      </w:pPr>
      <w:r>
        <w:rPr>
          <w:lang w:val="uk-UA"/>
        </w:rPr>
        <w:t xml:space="preserve">Об’єкти </w:t>
      </w:r>
      <w:r w:rsidR="005E61E5" w:rsidRPr="00DD57A1">
        <w:rPr>
          <w:lang w:val="uk-UA"/>
        </w:rPr>
        <w:t>основних засобів, після первісного визнання активом, обліковуються та відображаються у  фінансовій звітності,  за собівартістю мінус:</w:t>
      </w:r>
    </w:p>
    <w:p w:rsidR="005E61E5" w:rsidRPr="00DD57A1" w:rsidRDefault="005E61E5" w:rsidP="00EA7DC6">
      <w:pPr>
        <w:ind w:firstLine="567"/>
        <w:jc w:val="both"/>
        <w:rPr>
          <w:lang w:val="uk-UA"/>
        </w:rPr>
      </w:pPr>
      <w:r w:rsidRPr="00DD57A1">
        <w:rPr>
          <w:lang w:val="uk-UA"/>
        </w:rPr>
        <w:t>- накопичена амортизація;</w:t>
      </w:r>
    </w:p>
    <w:p w:rsidR="005E61E5" w:rsidRPr="00DD57A1" w:rsidRDefault="005E61E5" w:rsidP="00EA7DC6">
      <w:pPr>
        <w:ind w:firstLine="567"/>
        <w:jc w:val="both"/>
        <w:rPr>
          <w:lang w:val="uk-UA"/>
        </w:rPr>
      </w:pPr>
      <w:r w:rsidRPr="00DD57A1">
        <w:rPr>
          <w:lang w:val="uk-UA"/>
        </w:rPr>
        <w:t>- накопичені збитки від зменшення корисності.</w:t>
      </w:r>
    </w:p>
    <w:p w:rsidR="00100582" w:rsidRDefault="005E61E5" w:rsidP="00EA7DC6">
      <w:pPr>
        <w:ind w:firstLine="567"/>
        <w:jc w:val="both"/>
        <w:rPr>
          <w:lang w:val="uk-UA"/>
        </w:rPr>
      </w:pPr>
      <w:r w:rsidRPr="00DD57A1">
        <w:rPr>
          <w:lang w:val="uk-UA"/>
        </w:rPr>
        <w:t>Амортизація по основних засобах нараховується  за прямолінійним методом протягом  передбачуваного строку їх корисного використання і відображається у складі  прибутку та збитку.</w:t>
      </w:r>
      <w:r w:rsidR="009A507F">
        <w:rPr>
          <w:lang w:val="uk-UA"/>
        </w:rPr>
        <w:t xml:space="preserve"> </w:t>
      </w:r>
      <w:r w:rsidRPr="00DD57A1">
        <w:rPr>
          <w:lang w:val="uk-UA"/>
        </w:rPr>
        <w:t xml:space="preserve">Амортизація основного засобу нараховується  з дати, коли він стає придатним для використання, тобто коли він доставлений до місця розташування та приведений у стан, у якому він придатний до експлуатації у спосіб, визначений </w:t>
      </w:r>
      <w:r w:rsidR="00912679">
        <w:rPr>
          <w:lang w:val="uk-UA"/>
        </w:rPr>
        <w:t>управлінським персоналом</w:t>
      </w:r>
      <w:r w:rsidR="00100582">
        <w:rPr>
          <w:lang w:val="uk-UA"/>
        </w:rPr>
        <w:t>.</w:t>
      </w:r>
    </w:p>
    <w:p w:rsidR="005E61E5" w:rsidRPr="00DD57A1" w:rsidRDefault="005E61E5" w:rsidP="00EA7DC6">
      <w:pPr>
        <w:ind w:firstLine="567"/>
        <w:jc w:val="both"/>
        <w:rPr>
          <w:lang w:val="uk-UA"/>
        </w:rPr>
      </w:pPr>
      <w:r w:rsidRPr="00DD57A1">
        <w:rPr>
          <w:lang w:val="uk-UA"/>
        </w:rPr>
        <w:t xml:space="preserve">Амортизація ґрунтується на таких строках корисного використання: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04"/>
        <w:gridCol w:w="3827"/>
      </w:tblGrid>
      <w:tr w:rsidR="002856F4" w:rsidRPr="00DD57A1" w:rsidTr="00317936">
        <w:tc>
          <w:tcPr>
            <w:tcW w:w="6204" w:type="dxa"/>
            <w:tcBorders>
              <w:top w:val="single" w:sz="4" w:space="0" w:color="auto"/>
              <w:left w:val="single" w:sz="4" w:space="0" w:color="auto"/>
              <w:bottom w:val="single" w:sz="4" w:space="0" w:color="auto"/>
              <w:right w:val="single" w:sz="4" w:space="0" w:color="auto"/>
            </w:tcBorders>
          </w:tcPr>
          <w:p w:rsidR="002856F4" w:rsidRPr="00DD57A1" w:rsidRDefault="002856F4" w:rsidP="00C429BC">
            <w:pPr>
              <w:ind w:firstLine="567"/>
              <w:jc w:val="both"/>
              <w:rPr>
                <w:lang w:val="uk-UA"/>
              </w:rPr>
            </w:pPr>
            <w:r>
              <w:rPr>
                <w:lang w:val="uk-UA"/>
              </w:rPr>
              <w:t>Транспортні засоби</w:t>
            </w:r>
          </w:p>
        </w:tc>
        <w:tc>
          <w:tcPr>
            <w:tcW w:w="3827" w:type="dxa"/>
            <w:tcBorders>
              <w:top w:val="single" w:sz="4" w:space="0" w:color="auto"/>
              <w:left w:val="single" w:sz="4" w:space="0" w:color="auto"/>
              <w:bottom w:val="single" w:sz="4" w:space="0" w:color="auto"/>
              <w:right w:val="single" w:sz="4" w:space="0" w:color="auto"/>
            </w:tcBorders>
          </w:tcPr>
          <w:p w:rsidR="002856F4" w:rsidRPr="00DD57A1" w:rsidRDefault="00802D6C" w:rsidP="00C429BC">
            <w:pPr>
              <w:ind w:firstLine="567"/>
              <w:jc w:val="both"/>
              <w:rPr>
                <w:lang w:val="uk-UA"/>
              </w:rPr>
            </w:pPr>
            <w:r>
              <w:rPr>
                <w:lang w:val="uk-UA"/>
              </w:rPr>
              <w:t>60 місяців</w:t>
            </w:r>
          </w:p>
        </w:tc>
      </w:tr>
      <w:tr w:rsidR="005E61E5" w:rsidRPr="00DD57A1" w:rsidTr="00317936">
        <w:tc>
          <w:tcPr>
            <w:tcW w:w="6204" w:type="dxa"/>
            <w:tcBorders>
              <w:top w:val="single" w:sz="4" w:space="0" w:color="auto"/>
              <w:left w:val="single" w:sz="4" w:space="0" w:color="auto"/>
              <w:bottom w:val="single" w:sz="4" w:space="0" w:color="auto"/>
              <w:right w:val="single" w:sz="4" w:space="0" w:color="auto"/>
            </w:tcBorders>
          </w:tcPr>
          <w:p w:rsidR="005E61E5" w:rsidRPr="00DD57A1" w:rsidRDefault="005E61E5" w:rsidP="00C429BC">
            <w:pPr>
              <w:ind w:firstLine="567"/>
              <w:jc w:val="both"/>
              <w:rPr>
                <w:lang w:val="uk-UA"/>
              </w:rPr>
            </w:pPr>
            <w:r w:rsidRPr="00DD57A1">
              <w:rPr>
                <w:lang w:val="uk-UA"/>
              </w:rPr>
              <w:t>Комп’ютери та обладнання</w:t>
            </w:r>
          </w:p>
        </w:tc>
        <w:tc>
          <w:tcPr>
            <w:tcW w:w="3827" w:type="dxa"/>
            <w:tcBorders>
              <w:top w:val="single" w:sz="4" w:space="0" w:color="auto"/>
              <w:left w:val="single" w:sz="4" w:space="0" w:color="auto"/>
              <w:bottom w:val="single" w:sz="4" w:space="0" w:color="auto"/>
              <w:right w:val="single" w:sz="4" w:space="0" w:color="auto"/>
            </w:tcBorders>
          </w:tcPr>
          <w:p w:rsidR="005E61E5" w:rsidRPr="00DD57A1" w:rsidRDefault="005E61E5" w:rsidP="00C429BC">
            <w:pPr>
              <w:ind w:firstLine="567"/>
              <w:jc w:val="both"/>
              <w:rPr>
                <w:highlight w:val="yellow"/>
                <w:lang w:val="uk-UA"/>
              </w:rPr>
            </w:pPr>
            <w:r w:rsidRPr="00DD57A1">
              <w:rPr>
                <w:lang w:val="uk-UA"/>
              </w:rPr>
              <w:t xml:space="preserve">60 місяців </w:t>
            </w:r>
          </w:p>
        </w:tc>
      </w:tr>
      <w:tr w:rsidR="005E61E5" w:rsidRPr="00DD57A1" w:rsidTr="00317936">
        <w:tc>
          <w:tcPr>
            <w:tcW w:w="6204" w:type="dxa"/>
            <w:tcBorders>
              <w:top w:val="single" w:sz="4" w:space="0" w:color="auto"/>
              <w:left w:val="single" w:sz="4" w:space="0" w:color="auto"/>
              <w:bottom w:val="single" w:sz="4" w:space="0" w:color="auto"/>
              <w:right w:val="single" w:sz="4" w:space="0" w:color="auto"/>
            </w:tcBorders>
          </w:tcPr>
          <w:p w:rsidR="005E61E5" w:rsidRPr="00DD57A1" w:rsidRDefault="005E61E5" w:rsidP="00C429BC">
            <w:pPr>
              <w:ind w:firstLine="567"/>
              <w:jc w:val="both"/>
              <w:rPr>
                <w:lang w:val="uk-UA"/>
              </w:rPr>
            </w:pPr>
            <w:r w:rsidRPr="00DD57A1">
              <w:rPr>
                <w:lang w:val="uk-UA"/>
              </w:rPr>
              <w:t xml:space="preserve">Офісні меблі, приладдя та інвентар </w:t>
            </w:r>
          </w:p>
        </w:tc>
        <w:tc>
          <w:tcPr>
            <w:tcW w:w="3827" w:type="dxa"/>
            <w:tcBorders>
              <w:top w:val="single" w:sz="4" w:space="0" w:color="auto"/>
              <w:left w:val="single" w:sz="4" w:space="0" w:color="auto"/>
              <w:bottom w:val="single" w:sz="4" w:space="0" w:color="auto"/>
              <w:right w:val="single" w:sz="4" w:space="0" w:color="auto"/>
            </w:tcBorders>
          </w:tcPr>
          <w:p w:rsidR="005E61E5" w:rsidRPr="00DD57A1" w:rsidRDefault="005E61E5" w:rsidP="00C429BC">
            <w:pPr>
              <w:ind w:firstLine="567"/>
              <w:jc w:val="both"/>
              <w:rPr>
                <w:highlight w:val="yellow"/>
                <w:lang w:val="uk-UA"/>
              </w:rPr>
            </w:pPr>
            <w:r w:rsidRPr="00DD57A1">
              <w:rPr>
                <w:lang w:val="uk-UA"/>
              </w:rPr>
              <w:t>60 місяців</w:t>
            </w:r>
          </w:p>
        </w:tc>
      </w:tr>
      <w:tr w:rsidR="005E61E5" w:rsidRPr="00DD57A1" w:rsidTr="00317936">
        <w:tc>
          <w:tcPr>
            <w:tcW w:w="6204" w:type="dxa"/>
            <w:tcBorders>
              <w:top w:val="single" w:sz="4" w:space="0" w:color="auto"/>
              <w:left w:val="single" w:sz="4" w:space="0" w:color="auto"/>
              <w:bottom w:val="single" w:sz="4" w:space="0" w:color="auto"/>
              <w:right w:val="single" w:sz="4" w:space="0" w:color="auto"/>
            </w:tcBorders>
          </w:tcPr>
          <w:p w:rsidR="005E61E5" w:rsidRPr="00DD57A1" w:rsidRDefault="005E61E5" w:rsidP="00C429BC">
            <w:pPr>
              <w:ind w:firstLine="567"/>
              <w:jc w:val="both"/>
              <w:rPr>
                <w:lang w:val="uk-UA"/>
              </w:rPr>
            </w:pPr>
            <w:r w:rsidRPr="00DD57A1">
              <w:rPr>
                <w:lang w:val="uk-UA"/>
              </w:rPr>
              <w:t>Інші основні засоби</w:t>
            </w:r>
          </w:p>
        </w:tc>
        <w:tc>
          <w:tcPr>
            <w:tcW w:w="3827" w:type="dxa"/>
            <w:tcBorders>
              <w:top w:val="single" w:sz="4" w:space="0" w:color="auto"/>
              <w:left w:val="single" w:sz="4" w:space="0" w:color="auto"/>
              <w:bottom w:val="single" w:sz="4" w:space="0" w:color="auto"/>
              <w:right w:val="single" w:sz="4" w:space="0" w:color="auto"/>
            </w:tcBorders>
          </w:tcPr>
          <w:p w:rsidR="005E61E5" w:rsidRPr="00DD57A1" w:rsidRDefault="005E61E5" w:rsidP="00C429BC">
            <w:pPr>
              <w:ind w:firstLine="567"/>
              <w:jc w:val="both"/>
              <w:rPr>
                <w:highlight w:val="yellow"/>
                <w:lang w:val="uk-UA"/>
              </w:rPr>
            </w:pPr>
            <w:r w:rsidRPr="00DD57A1">
              <w:rPr>
                <w:lang w:val="uk-UA"/>
              </w:rPr>
              <w:t>144 місяців</w:t>
            </w:r>
          </w:p>
        </w:tc>
      </w:tr>
    </w:tbl>
    <w:p w:rsidR="005E61E5" w:rsidRDefault="00104EE5" w:rsidP="00C429BC">
      <w:pPr>
        <w:ind w:firstLine="567"/>
        <w:jc w:val="both"/>
        <w:rPr>
          <w:lang w:val="uk-UA"/>
        </w:rPr>
      </w:pPr>
      <w:r>
        <w:rPr>
          <w:lang w:val="uk-UA"/>
        </w:rPr>
        <w:t xml:space="preserve">Матеріальни активи з терміном корисного використання понад один рік вартістю </w:t>
      </w:r>
      <w:r w:rsidRPr="00397EDC">
        <w:rPr>
          <w:lang w:val="uk-UA"/>
        </w:rPr>
        <w:t>до 20 000,00</w:t>
      </w:r>
      <w:r>
        <w:rPr>
          <w:lang w:val="uk-UA"/>
        </w:rPr>
        <w:t xml:space="preserve"> грн., вважаються малоцінними необоротними матеріальними активами (МНМА).</w:t>
      </w:r>
    </w:p>
    <w:p w:rsidR="002970DA" w:rsidRDefault="002970DA" w:rsidP="003C6D9D">
      <w:pPr>
        <w:pStyle w:val="a8"/>
        <w:ind w:right="-1" w:firstLine="567"/>
        <w:jc w:val="both"/>
      </w:pPr>
      <w:r>
        <w:t>Витрати на обслуговування, експлуатацію та ремонти основних засобів списуються на витрати в періоді їх виникнення. Вартість істотних оновлень і вдосконалень основних засобів</w:t>
      </w:r>
      <w:r w:rsidR="007F0DF0">
        <w:rPr>
          <w:lang w:val="uk-UA"/>
        </w:rPr>
        <w:t xml:space="preserve"> </w:t>
      </w:r>
      <w:r>
        <w:t>капіталізуються. У разі наявності факторів знецінення активів відображаються основні засоби за мінусом збитків від знецінення згідно з МСБО 36 «Зменшення корисності активів».</w:t>
      </w:r>
    </w:p>
    <w:p w:rsidR="00C04729" w:rsidRPr="00DD57A1" w:rsidRDefault="006170AB" w:rsidP="00C04729">
      <w:pPr>
        <w:ind w:firstLine="567"/>
        <w:jc w:val="both"/>
        <w:rPr>
          <w:b/>
          <w:lang w:val="uk-UA"/>
        </w:rPr>
      </w:pPr>
      <w:r>
        <w:rPr>
          <w:b/>
          <w:lang w:val="uk-UA"/>
        </w:rPr>
        <w:t>3.</w:t>
      </w:r>
      <w:r w:rsidR="00D1381A">
        <w:rPr>
          <w:b/>
          <w:lang w:val="uk-UA"/>
        </w:rPr>
        <w:t>4</w:t>
      </w:r>
      <w:r>
        <w:rPr>
          <w:b/>
          <w:lang w:val="uk-UA"/>
        </w:rPr>
        <w:t>.</w:t>
      </w:r>
      <w:r w:rsidR="002970DA">
        <w:rPr>
          <w:b/>
          <w:lang w:val="uk-UA"/>
        </w:rPr>
        <w:t>2</w:t>
      </w:r>
      <w:r>
        <w:rPr>
          <w:b/>
          <w:lang w:val="uk-UA"/>
        </w:rPr>
        <w:t xml:space="preserve">. </w:t>
      </w:r>
      <w:r w:rsidR="00C04729">
        <w:rPr>
          <w:b/>
          <w:lang w:val="uk-UA"/>
        </w:rPr>
        <w:t>Нематеріальні активи</w:t>
      </w:r>
    </w:p>
    <w:p w:rsidR="009A507F" w:rsidRPr="009A507F" w:rsidRDefault="009A507F" w:rsidP="009A507F">
      <w:pPr>
        <w:ind w:firstLine="567"/>
        <w:jc w:val="both"/>
        <w:rPr>
          <w:lang w:val="uk-UA"/>
        </w:rPr>
      </w:pPr>
      <w:r w:rsidRPr="009A507F">
        <w:rPr>
          <w:lang w:val="uk-UA"/>
        </w:rPr>
        <w:t>Нематеріальні активи Товариства враховуються і відображаються у фінансовій звітності згідно МСБО 38 «Нематеріальні активи».</w:t>
      </w:r>
    </w:p>
    <w:p w:rsidR="00C04729" w:rsidRPr="00DD57A1" w:rsidRDefault="00C04729" w:rsidP="00C04729">
      <w:pPr>
        <w:ind w:firstLine="567"/>
        <w:jc w:val="both"/>
        <w:rPr>
          <w:lang w:val="uk-UA"/>
        </w:rPr>
      </w:pPr>
      <w:r w:rsidRPr="00C04729">
        <w:rPr>
          <w:lang w:val="uk-UA"/>
        </w:rPr>
        <w:t>Нематеріальні активи</w:t>
      </w:r>
      <w:r w:rsidRPr="00DD57A1">
        <w:rPr>
          <w:lang w:val="uk-UA"/>
        </w:rPr>
        <w:t>,</w:t>
      </w:r>
      <w:r>
        <w:rPr>
          <w:lang w:val="uk-UA"/>
        </w:rPr>
        <w:t xml:space="preserve"> </w:t>
      </w:r>
      <w:r w:rsidRPr="00DD57A1">
        <w:rPr>
          <w:lang w:val="uk-UA"/>
        </w:rPr>
        <w:t>після первісного визнання активом, обліковуються та відображаються у  фінансовій звітності,  за собівартістю мінус:</w:t>
      </w:r>
    </w:p>
    <w:p w:rsidR="00C04729" w:rsidRPr="00DD57A1" w:rsidRDefault="00C04729" w:rsidP="00C04729">
      <w:pPr>
        <w:ind w:firstLine="567"/>
        <w:jc w:val="both"/>
        <w:rPr>
          <w:lang w:val="uk-UA"/>
        </w:rPr>
      </w:pPr>
      <w:r w:rsidRPr="00DD57A1">
        <w:rPr>
          <w:lang w:val="uk-UA"/>
        </w:rPr>
        <w:t>- накопичена амортизація;</w:t>
      </w:r>
    </w:p>
    <w:p w:rsidR="00C04729" w:rsidRPr="00DD57A1" w:rsidRDefault="00C04729" w:rsidP="00C04729">
      <w:pPr>
        <w:ind w:firstLine="567"/>
        <w:jc w:val="both"/>
        <w:rPr>
          <w:lang w:val="uk-UA"/>
        </w:rPr>
      </w:pPr>
      <w:r w:rsidRPr="00DD57A1">
        <w:rPr>
          <w:lang w:val="uk-UA"/>
        </w:rPr>
        <w:t>- накопичені збитки від зменшення корисності.</w:t>
      </w:r>
    </w:p>
    <w:p w:rsidR="00C04729" w:rsidRPr="00DD57A1" w:rsidRDefault="00C04729" w:rsidP="00C04729">
      <w:pPr>
        <w:ind w:firstLine="567"/>
        <w:jc w:val="both"/>
        <w:rPr>
          <w:lang w:val="uk-UA"/>
        </w:rPr>
      </w:pPr>
      <w:r w:rsidRPr="00DD57A1">
        <w:rPr>
          <w:lang w:val="uk-UA"/>
        </w:rPr>
        <w:t xml:space="preserve">Амортизація по </w:t>
      </w:r>
      <w:r>
        <w:rPr>
          <w:lang w:val="uk-UA"/>
        </w:rPr>
        <w:t>н</w:t>
      </w:r>
      <w:r w:rsidRPr="00C04729">
        <w:rPr>
          <w:lang w:val="uk-UA"/>
        </w:rPr>
        <w:t>ематеріальн</w:t>
      </w:r>
      <w:r>
        <w:rPr>
          <w:lang w:val="uk-UA"/>
        </w:rPr>
        <w:t>их</w:t>
      </w:r>
      <w:r w:rsidRPr="00C04729">
        <w:rPr>
          <w:lang w:val="uk-UA"/>
        </w:rPr>
        <w:t xml:space="preserve"> актив</w:t>
      </w:r>
      <w:r>
        <w:rPr>
          <w:lang w:val="uk-UA"/>
        </w:rPr>
        <w:t>ах</w:t>
      </w:r>
      <w:r w:rsidRPr="00DD57A1">
        <w:rPr>
          <w:lang w:val="uk-UA"/>
        </w:rPr>
        <w:t xml:space="preserve"> нараховується  за прямолінійним методом протягом  передбачуваного строку їх корисного використання і відображається у складі  прибутку та збитку.  Амортизація </w:t>
      </w:r>
      <w:r>
        <w:rPr>
          <w:lang w:val="uk-UA"/>
        </w:rPr>
        <w:t>н</w:t>
      </w:r>
      <w:r w:rsidRPr="00C04729">
        <w:rPr>
          <w:lang w:val="uk-UA"/>
        </w:rPr>
        <w:t>ематеріальн</w:t>
      </w:r>
      <w:r>
        <w:rPr>
          <w:lang w:val="uk-UA"/>
        </w:rPr>
        <w:t>ого</w:t>
      </w:r>
      <w:r w:rsidRPr="00C04729">
        <w:rPr>
          <w:lang w:val="uk-UA"/>
        </w:rPr>
        <w:t xml:space="preserve"> актив</w:t>
      </w:r>
      <w:r>
        <w:rPr>
          <w:lang w:val="uk-UA"/>
        </w:rPr>
        <w:t>у</w:t>
      </w:r>
      <w:r w:rsidRPr="00DD57A1">
        <w:rPr>
          <w:lang w:val="uk-UA"/>
        </w:rPr>
        <w:t xml:space="preserve"> нараховується  з дати , коли він стає придатним для використання, тобто коли він доставлений до місця розташування та приведений у стан, у якому він придатний до експлуатації у спосіб, визначений уп</w:t>
      </w:r>
      <w:r w:rsidR="000B6204">
        <w:rPr>
          <w:lang w:val="uk-UA"/>
        </w:rPr>
        <w:t>равлінським персоналом.</w:t>
      </w:r>
    </w:p>
    <w:p w:rsidR="00C04729" w:rsidRPr="00DD57A1" w:rsidRDefault="00C04729" w:rsidP="00C04729">
      <w:pPr>
        <w:ind w:firstLine="567"/>
        <w:jc w:val="both"/>
        <w:rPr>
          <w:lang w:val="uk-UA"/>
        </w:rPr>
      </w:pPr>
      <w:r w:rsidRPr="00DD57A1">
        <w:rPr>
          <w:lang w:val="uk-UA"/>
        </w:rPr>
        <w:t xml:space="preserve">Амортизація ґрунтується на таких строках корисного використання: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204"/>
        <w:gridCol w:w="3827"/>
      </w:tblGrid>
      <w:tr w:rsidR="00C04729" w:rsidRPr="00DD57A1" w:rsidTr="00317936">
        <w:tc>
          <w:tcPr>
            <w:tcW w:w="6204" w:type="dxa"/>
            <w:tcBorders>
              <w:top w:val="single" w:sz="4" w:space="0" w:color="auto"/>
              <w:left w:val="single" w:sz="4" w:space="0" w:color="auto"/>
              <w:bottom w:val="single" w:sz="4" w:space="0" w:color="auto"/>
              <w:right w:val="single" w:sz="4" w:space="0" w:color="auto"/>
            </w:tcBorders>
            <w:vAlign w:val="center"/>
          </w:tcPr>
          <w:p w:rsidR="00C04729" w:rsidRPr="00DD57A1" w:rsidRDefault="00E7643B" w:rsidP="00317936">
            <w:pPr>
              <w:ind w:firstLine="567"/>
              <w:rPr>
                <w:lang w:val="uk-UA"/>
              </w:rPr>
            </w:pPr>
            <w:r w:rsidRPr="00E7643B">
              <w:rPr>
                <w:lang w:val="uk-UA"/>
              </w:rPr>
              <w:t>Ліцензія</w:t>
            </w:r>
          </w:p>
        </w:tc>
        <w:tc>
          <w:tcPr>
            <w:tcW w:w="3827" w:type="dxa"/>
            <w:tcBorders>
              <w:top w:val="single" w:sz="4" w:space="0" w:color="auto"/>
              <w:left w:val="single" w:sz="4" w:space="0" w:color="auto"/>
              <w:bottom w:val="single" w:sz="4" w:space="0" w:color="auto"/>
              <w:right w:val="single" w:sz="4" w:space="0" w:color="auto"/>
            </w:tcBorders>
          </w:tcPr>
          <w:p w:rsidR="00C04729" w:rsidRPr="00DD57A1" w:rsidRDefault="00E7643B" w:rsidP="004460B2">
            <w:pPr>
              <w:ind w:firstLine="567"/>
              <w:rPr>
                <w:highlight w:val="yellow"/>
                <w:lang w:val="uk-UA"/>
              </w:rPr>
            </w:pPr>
            <w:r>
              <w:rPr>
                <w:lang w:val="uk-UA"/>
              </w:rPr>
              <w:t>Відповідно до правовстановлюючого документа</w:t>
            </w:r>
          </w:p>
        </w:tc>
      </w:tr>
      <w:tr w:rsidR="00C04729" w:rsidRPr="00DD57A1" w:rsidTr="00317936">
        <w:tc>
          <w:tcPr>
            <w:tcW w:w="6204" w:type="dxa"/>
            <w:tcBorders>
              <w:top w:val="single" w:sz="4" w:space="0" w:color="auto"/>
              <w:left w:val="single" w:sz="4" w:space="0" w:color="auto"/>
              <w:bottom w:val="single" w:sz="4" w:space="0" w:color="auto"/>
              <w:right w:val="single" w:sz="4" w:space="0" w:color="auto"/>
            </w:tcBorders>
          </w:tcPr>
          <w:p w:rsidR="00C04729" w:rsidRPr="00397EDC" w:rsidRDefault="004D3EC5" w:rsidP="00320C65">
            <w:pPr>
              <w:ind w:firstLine="567"/>
              <w:jc w:val="both"/>
              <w:rPr>
                <w:color w:val="000000" w:themeColor="text1"/>
                <w:lang w:val="uk-UA"/>
              </w:rPr>
            </w:pPr>
            <w:r w:rsidRPr="00397EDC">
              <w:rPr>
                <w:color w:val="000000" w:themeColor="text1"/>
                <w:lang w:val="uk-UA"/>
              </w:rPr>
              <w:t>Розробка Універсального драйверу реєстраторів</w:t>
            </w:r>
          </w:p>
        </w:tc>
        <w:tc>
          <w:tcPr>
            <w:tcW w:w="3827" w:type="dxa"/>
            <w:tcBorders>
              <w:top w:val="single" w:sz="4" w:space="0" w:color="auto"/>
              <w:left w:val="single" w:sz="4" w:space="0" w:color="auto"/>
              <w:bottom w:val="single" w:sz="4" w:space="0" w:color="auto"/>
              <w:right w:val="single" w:sz="4" w:space="0" w:color="auto"/>
            </w:tcBorders>
            <w:vAlign w:val="center"/>
          </w:tcPr>
          <w:p w:rsidR="00C04729" w:rsidRPr="00DD57A1" w:rsidRDefault="00C04729" w:rsidP="004460B2">
            <w:pPr>
              <w:ind w:firstLine="567"/>
              <w:jc w:val="both"/>
              <w:rPr>
                <w:highlight w:val="yellow"/>
                <w:lang w:val="uk-UA"/>
              </w:rPr>
            </w:pPr>
            <w:r w:rsidRPr="00DD57A1">
              <w:rPr>
                <w:lang w:val="uk-UA"/>
              </w:rPr>
              <w:t>60 місяців</w:t>
            </w:r>
          </w:p>
        </w:tc>
      </w:tr>
      <w:tr w:rsidR="00C04729" w:rsidRPr="00DD57A1" w:rsidTr="00317936">
        <w:tc>
          <w:tcPr>
            <w:tcW w:w="6204" w:type="dxa"/>
            <w:tcBorders>
              <w:top w:val="single" w:sz="4" w:space="0" w:color="auto"/>
              <w:left w:val="single" w:sz="4" w:space="0" w:color="auto"/>
              <w:bottom w:val="single" w:sz="4" w:space="0" w:color="auto"/>
              <w:right w:val="single" w:sz="4" w:space="0" w:color="auto"/>
            </w:tcBorders>
          </w:tcPr>
          <w:p w:rsidR="00C04729" w:rsidRPr="00397EDC" w:rsidRDefault="00317936" w:rsidP="00317936">
            <w:pPr>
              <w:ind w:firstLine="567"/>
              <w:jc w:val="both"/>
              <w:rPr>
                <w:color w:val="000000" w:themeColor="text1"/>
                <w:lang w:val="uk-UA"/>
              </w:rPr>
            </w:pPr>
            <w:r w:rsidRPr="00397EDC">
              <w:rPr>
                <w:color w:val="000000" w:themeColor="text1"/>
                <w:lang w:val="uk-UA"/>
              </w:rPr>
              <w:t>Розробка сайту</w:t>
            </w:r>
          </w:p>
        </w:tc>
        <w:tc>
          <w:tcPr>
            <w:tcW w:w="3827" w:type="dxa"/>
            <w:tcBorders>
              <w:top w:val="single" w:sz="4" w:space="0" w:color="auto"/>
              <w:left w:val="single" w:sz="4" w:space="0" w:color="auto"/>
              <w:bottom w:val="single" w:sz="4" w:space="0" w:color="auto"/>
              <w:right w:val="single" w:sz="4" w:space="0" w:color="auto"/>
            </w:tcBorders>
            <w:vAlign w:val="center"/>
          </w:tcPr>
          <w:p w:rsidR="00C04729" w:rsidRPr="00DD57A1" w:rsidRDefault="00317936" w:rsidP="004460B2">
            <w:pPr>
              <w:ind w:firstLine="567"/>
              <w:jc w:val="both"/>
              <w:rPr>
                <w:highlight w:val="yellow"/>
                <w:lang w:val="uk-UA"/>
              </w:rPr>
            </w:pPr>
            <w:r>
              <w:rPr>
                <w:lang w:val="uk-UA"/>
              </w:rPr>
              <w:t>120</w:t>
            </w:r>
            <w:r w:rsidR="00C04729" w:rsidRPr="00DD57A1">
              <w:rPr>
                <w:lang w:val="uk-UA"/>
              </w:rPr>
              <w:t xml:space="preserve"> місяців</w:t>
            </w:r>
          </w:p>
        </w:tc>
      </w:tr>
    </w:tbl>
    <w:p w:rsidR="00C04729" w:rsidRDefault="00C04729" w:rsidP="00C429BC">
      <w:pPr>
        <w:ind w:firstLine="567"/>
        <w:jc w:val="both"/>
        <w:rPr>
          <w:lang w:val="uk-UA"/>
        </w:rPr>
      </w:pPr>
    </w:p>
    <w:p w:rsidR="00A3453C" w:rsidRPr="00D1381A" w:rsidRDefault="00A3453C" w:rsidP="00D1381A">
      <w:pPr>
        <w:autoSpaceDE w:val="0"/>
        <w:ind w:firstLine="540"/>
        <w:jc w:val="both"/>
        <w:rPr>
          <w:b/>
          <w:lang w:val="uk-UA"/>
        </w:rPr>
      </w:pPr>
      <w:r w:rsidRPr="00D1381A">
        <w:rPr>
          <w:b/>
          <w:lang w:val="uk-UA"/>
        </w:rPr>
        <w:t>3.</w:t>
      </w:r>
      <w:r w:rsidR="00D1381A" w:rsidRPr="00D1381A">
        <w:rPr>
          <w:b/>
          <w:lang w:val="uk-UA"/>
        </w:rPr>
        <w:t>4.</w:t>
      </w:r>
      <w:r w:rsidR="002970DA">
        <w:rPr>
          <w:b/>
          <w:lang w:val="uk-UA"/>
        </w:rPr>
        <w:t>3</w:t>
      </w:r>
      <w:r w:rsidRPr="00D1381A">
        <w:rPr>
          <w:b/>
          <w:lang w:val="uk-UA"/>
        </w:rPr>
        <w:t>. Облікові політики щодо оренди</w:t>
      </w:r>
    </w:p>
    <w:p w:rsidR="00D1381A" w:rsidRPr="00C07F8A" w:rsidRDefault="00D1381A" w:rsidP="00EA7DC6">
      <w:pPr>
        <w:autoSpaceDE w:val="0"/>
        <w:ind w:firstLine="539"/>
        <w:jc w:val="both"/>
        <w:rPr>
          <w:lang w:val="uk-UA"/>
        </w:rPr>
      </w:pPr>
      <w:r w:rsidRPr="00C07F8A">
        <w:rPr>
          <w:lang w:val="uk-UA"/>
        </w:rPr>
        <w:t>Компанія згідно МСФЗ 16 «ОРЕНДА» виступає як орендар.</w:t>
      </w:r>
    </w:p>
    <w:p w:rsidR="00D1381A" w:rsidRPr="00C07F8A" w:rsidRDefault="00D1381A" w:rsidP="00EA7DC6">
      <w:pPr>
        <w:autoSpaceDE w:val="0"/>
        <w:ind w:firstLine="539"/>
        <w:jc w:val="both"/>
        <w:rPr>
          <w:lang w:val="uk-UA"/>
        </w:rPr>
      </w:pPr>
      <w:r w:rsidRPr="00C07F8A">
        <w:rPr>
          <w:lang w:val="uk-UA"/>
        </w:rPr>
        <w:t>На дату початку оренди підприємство оцінює актив у формі права користування за первісною вартістю, яка включає:</w:t>
      </w:r>
    </w:p>
    <w:p w:rsidR="00D1381A" w:rsidRPr="00C07F8A" w:rsidRDefault="00D1381A" w:rsidP="00EA7DC6">
      <w:pPr>
        <w:autoSpaceDE w:val="0"/>
        <w:ind w:firstLine="539"/>
        <w:jc w:val="both"/>
        <w:rPr>
          <w:lang w:val="uk-UA"/>
        </w:rPr>
      </w:pPr>
      <w:r w:rsidRPr="00C07F8A">
        <w:rPr>
          <w:lang w:val="uk-UA"/>
        </w:rPr>
        <w:t>– величину первісної оцінки зобов'язання з оренди;</w:t>
      </w:r>
    </w:p>
    <w:p w:rsidR="00D1381A" w:rsidRPr="00C07F8A" w:rsidRDefault="00D1381A" w:rsidP="00EA7DC6">
      <w:pPr>
        <w:autoSpaceDE w:val="0"/>
        <w:ind w:firstLine="539"/>
        <w:jc w:val="both"/>
        <w:rPr>
          <w:lang w:val="uk-UA"/>
        </w:rPr>
      </w:pPr>
      <w:r w:rsidRPr="00C07F8A">
        <w:rPr>
          <w:lang w:val="uk-UA"/>
        </w:rPr>
        <w:t>– орендні платежі на дату початку оренди або до такої дати за вирахуванням отриманих дисконтів;</w:t>
      </w:r>
    </w:p>
    <w:p w:rsidR="00D1381A" w:rsidRPr="00C07F8A" w:rsidRDefault="00D1381A" w:rsidP="00EA7DC6">
      <w:pPr>
        <w:autoSpaceDE w:val="0"/>
        <w:ind w:firstLine="539"/>
        <w:jc w:val="both"/>
        <w:rPr>
          <w:lang w:val="uk-UA"/>
        </w:rPr>
      </w:pPr>
      <w:r w:rsidRPr="00C07F8A">
        <w:rPr>
          <w:lang w:val="uk-UA"/>
        </w:rPr>
        <w:t>– будь-які первісні прямі витрати, понесені орендарем;</w:t>
      </w:r>
    </w:p>
    <w:p w:rsidR="00D1381A" w:rsidRPr="00C07F8A" w:rsidRDefault="00D1381A" w:rsidP="00EA7DC6">
      <w:pPr>
        <w:autoSpaceDE w:val="0"/>
        <w:ind w:firstLine="539"/>
        <w:jc w:val="both"/>
        <w:rPr>
          <w:lang w:val="uk-UA"/>
        </w:rPr>
      </w:pPr>
      <w:r w:rsidRPr="00C07F8A">
        <w:rPr>
          <w:lang w:val="uk-UA"/>
        </w:rPr>
        <w:t>– оцінку витрат, які буде понесено орендарем під час демонтажу й переміщення базового активу після завершення договору.</w:t>
      </w:r>
    </w:p>
    <w:p w:rsidR="00D1381A" w:rsidRPr="00C07F8A" w:rsidRDefault="00D1381A" w:rsidP="00EA7DC6">
      <w:pPr>
        <w:autoSpaceDE w:val="0"/>
        <w:ind w:firstLine="539"/>
        <w:jc w:val="both"/>
        <w:rPr>
          <w:lang w:val="uk-UA"/>
        </w:rPr>
      </w:pPr>
      <w:r w:rsidRPr="00C07F8A">
        <w:rPr>
          <w:lang w:val="uk-UA"/>
        </w:rPr>
        <w:t>На дату початку оренди підприємство оцінює зобов'язання з оренди за наведеною вартістю орендних платежів, які ще не здійснено на цю дату. Орендні платежі дисконтуються з використанням ефективної процентної ставки залучення додаткових позикових коштів у тій самій валюті (гривні), що діяла на дату початку визнання акту згідно з МСФЗ 16 «ОРЕНДА» чи на дату підписання договору оренди активу, що підпадає під дії МСФЗ 16.</w:t>
      </w:r>
    </w:p>
    <w:p w:rsidR="00D1381A" w:rsidRPr="00C07F8A" w:rsidRDefault="00D1381A" w:rsidP="00EA7DC6">
      <w:pPr>
        <w:autoSpaceDE w:val="0"/>
        <w:ind w:firstLine="539"/>
        <w:jc w:val="both"/>
        <w:rPr>
          <w:lang w:val="uk-UA"/>
        </w:rPr>
      </w:pPr>
      <w:r w:rsidRPr="00C07F8A">
        <w:rPr>
          <w:lang w:val="uk-UA"/>
        </w:rPr>
        <w:t>Інформацію про ефективну ставку отримувати офіційного сайту Національного Банку України в розрізі «Грошово-кредитна та фінансова статистика»  «Вартість кредитів за даними статистичної звітності банків України»</w:t>
      </w:r>
    </w:p>
    <w:p w:rsidR="00D1381A" w:rsidRPr="00C07F8A" w:rsidRDefault="00D1381A" w:rsidP="00EA7DC6">
      <w:pPr>
        <w:autoSpaceDE w:val="0"/>
        <w:ind w:firstLine="539"/>
        <w:jc w:val="both"/>
        <w:rPr>
          <w:lang w:val="uk-UA"/>
        </w:rPr>
      </w:pPr>
      <w:r w:rsidRPr="00C07F8A">
        <w:rPr>
          <w:lang w:val="uk-UA"/>
        </w:rPr>
        <w:t xml:space="preserve">Компанія не застосовує вищезазначені вимоги щодо визнання активів і зобов'язань стосовно короткострокової оренди або оренди, в якій базовий актив має вартість менш як 5000 доларів США за офіційним курсом НБУ. </w:t>
      </w:r>
    </w:p>
    <w:p w:rsidR="00A3453C" w:rsidRPr="00C07F8A" w:rsidRDefault="00A3453C" w:rsidP="00EA7DC6">
      <w:pPr>
        <w:autoSpaceDE w:val="0"/>
        <w:ind w:firstLine="539"/>
        <w:jc w:val="both"/>
        <w:rPr>
          <w:lang w:val="uk-UA"/>
        </w:rPr>
      </w:pPr>
      <w:r w:rsidRPr="00C07F8A">
        <w:rPr>
          <w:lang w:val="uk-UA"/>
        </w:rPr>
        <w:t>10 квітня 2020 року Рада з МСБО </w:t>
      </w:r>
      <w:hyperlink r:id="rId19" w:tgtFrame="_blank" w:history="1">
        <w:r w:rsidRPr="00C07F8A">
          <w:rPr>
            <w:lang w:val="uk-UA"/>
          </w:rPr>
          <w:t>опублікувала</w:t>
        </w:r>
      </w:hyperlink>
      <w:r w:rsidRPr="00C07F8A">
        <w:rPr>
          <w:lang w:val="uk-UA"/>
        </w:rPr>
        <w:t> документ "МСФЗ 16 та Covid-19". У ньому надано роз'яснення щодо застосування </w:t>
      </w:r>
      <w:hyperlink r:id="rId20" w:tgtFrame="_blank" w:history="1">
        <w:r w:rsidRPr="00C07F8A">
          <w:rPr>
            <w:lang w:val="uk-UA"/>
          </w:rPr>
          <w:t>МСФЗ 16 "Оренда"</w:t>
        </w:r>
      </w:hyperlink>
      <w:r w:rsidRPr="00C07F8A">
        <w:rPr>
          <w:lang w:val="uk-UA"/>
        </w:rPr>
        <w:t> для обліку орендних поступок, наданих у результаті пандемії захворювання "covid-19".</w:t>
      </w:r>
    </w:p>
    <w:p w:rsidR="00A3453C" w:rsidRPr="00C07F8A" w:rsidRDefault="00B02D2A" w:rsidP="00EA7DC6">
      <w:pPr>
        <w:autoSpaceDE w:val="0"/>
        <w:ind w:firstLine="539"/>
        <w:jc w:val="both"/>
        <w:rPr>
          <w:lang w:val="uk-UA"/>
        </w:rPr>
      </w:pPr>
      <w:hyperlink r:id="rId21" w:tgtFrame="_blank" w:history="1">
        <w:r w:rsidR="00A3453C" w:rsidRPr="00C07F8A">
          <w:rPr>
            <w:lang w:val="uk-UA"/>
          </w:rPr>
          <w:t>МСФЗ 16</w:t>
        </w:r>
      </w:hyperlink>
      <w:r w:rsidR="00A3453C" w:rsidRPr="00C07F8A">
        <w:rPr>
          <w:lang w:val="uk-UA"/>
        </w:rPr>
        <w:t xml:space="preserve"> передбачає можливість виникнення змін орендних платежів протягом строку оренди. Подальший облік таких змін (якщо вони суттєві) передбачає застосування суджень і залежить від низки чинників, зокрема, від того, чи були ці зміни передбачені початковими умовами договору оренди. Крім того, зміни можуть виникати безпосередньо через внесення правок у договір оренди або опосередковано внаслідок дій уряду у відповідь на пандемію "covid-19". </w:t>
      </w:r>
    </w:p>
    <w:p w:rsidR="00A3453C" w:rsidRPr="00AD6CCA" w:rsidRDefault="00A3453C" w:rsidP="00EA7DC6">
      <w:pPr>
        <w:autoSpaceDE w:val="0"/>
        <w:ind w:firstLine="539"/>
        <w:jc w:val="both"/>
        <w:rPr>
          <w:lang w:val="uk-UA"/>
        </w:rPr>
      </w:pPr>
      <w:r w:rsidRPr="00C07F8A">
        <w:rPr>
          <w:lang w:val="uk-UA"/>
        </w:rPr>
        <w:t xml:space="preserve">Підправлений варіант МСФЗ 16 дає змогу орендарям скористатися спрощеним практичним прийомом для поступок з оренди, якщо вони виникають як прямий наслідок пандемії COVID-19. Товариство </w:t>
      </w:r>
      <w:r w:rsidR="00B7756E" w:rsidRPr="00C07F8A">
        <w:rPr>
          <w:lang w:val="uk-UA"/>
        </w:rPr>
        <w:t>у 2021 році в</w:t>
      </w:r>
      <w:r w:rsidRPr="00C07F8A">
        <w:rPr>
          <w:lang w:val="uk-UA"/>
        </w:rPr>
        <w:t>икористовув</w:t>
      </w:r>
      <w:r w:rsidR="00B7756E" w:rsidRPr="00C07F8A">
        <w:rPr>
          <w:lang w:val="uk-UA"/>
        </w:rPr>
        <w:t>ало</w:t>
      </w:r>
      <w:r w:rsidRPr="00C07F8A">
        <w:rPr>
          <w:lang w:val="uk-UA"/>
        </w:rPr>
        <w:t xml:space="preserve"> практичне спрощення.</w:t>
      </w:r>
    </w:p>
    <w:p w:rsidR="009C1B4E" w:rsidRPr="00AD6CCA" w:rsidRDefault="009C1B4E" w:rsidP="00C429BC">
      <w:pPr>
        <w:ind w:firstLine="567"/>
        <w:jc w:val="both"/>
        <w:rPr>
          <w:lang w:val="uk-UA"/>
        </w:rPr>
      </w:pPr>
    </w:p>
    <w:p w:rsidR="005E61E5" w:rsidRPr="00AD6CCA" w:rsidRDefault="003C2BD9" w:rsidP="00C429BC">
      <w:pPr>
        <w:ind w:firstLine="567"/>
        <w:jc w:val="both"/>
        <w:rPr>
          <w:b/>
          <w:color w:val="000000" w:themeColor="text1"/>
          <w:lang w:val="uk-UA"/>
        </w:rPr>
      </w:pPr>
      <w:r w:rsidRPr="00AD6CCA">
        <w:rPr>
          <w:b/>
          <w:color w:val="000000" w:themeColor="text1"/>
          <w:lang w:val="uk-UA"/>
        </w:rPr>
        <w:t>3.4</w:t>
      </w:r>
      <w:r w:rsidR="006170AB" w:rsidRPr="00AD6CCA">
        <w:rPr>
          <w:b/>
          <w:color w:val="000000" w:themeColor="text1"/>
          <w:lang w:val="uk-UA"/>
        </w:rPr>
        <w:t>.</w:t>
      </w:r>
      <w:r w:rsidR="002970DA" w:rsidRPr="00AD6CCA">
        <w:rPr>
          <w:b/>
          <w:color w:val="000000" w:themeColor="text1"/>
          <w:lang w:val="uk-UA"/>
        </w:rPr>
        <w:t>4</w:t>
      </w:r>
      <w:r w:rsidR="006170AB" w:rsidRPr="00AD6CCA">
        <w:rPr>
          <w:b/>
          <w:color w:val="000000" w:themeColor="text1"/>
          <w:lang w:val="uk-UA"/>
        </w:rPr>
        <w:t xml:space="preserve">. </w:t>
      </w:r>
      <w:r w:rsidR="005E61E5" w:rsidRPr="00AD6CCA">
        <w:rPr>
          <w:b/>
          <w:color w:val="000000" w:themeColor="text1"/>
          <w:lang w:val="uk-UA"/>
        </w:rPr>
        <w:t>Запаси</w:t>
      </w:r>
    </w:p>
    <w:p w:rsidR="00100582" w:rsidRPr="00AD6CCA" w:rsidRDefault="00100582" w:rsidP="00EA7DC6">
      <w:pPr>
        <w:ind w:firstLine="567"/>
        <w:jc w:val="both"/>
        <w:rPr>
          <w:color w:val="000000" w:themeColor="text1"/>
          <w:lang w:val="uk-UA"/>
        </w:rPr>
      </w:pPr>
      <w:r w:rsidRPr="00AD6CCA">
        <w:rPr>
          <w:color w:val="000000" w:themeColor="text1"/>
          <w:lang w:val="uk-UA"/>
        </w:rPr>
        <w:tab/>
        <w:t>Облік і відображення у фінансовій звітності запасів здійснювати відповідно до МСБО 2 «Запаси».</w:t>
      </w:r>
    </w:p>
    <w:p w:rsidR="005E61E5" w:rsidRPr="00DD57A1" w:rsidRDefault="00100582" w:rsidP="00EA7DC6">
      <w:pPr>
        <w:ind w:firstLine="567"/>
        <w:jc w:val="both"/>
        <w:rPr>
          <w:rStyle w:val="hps"/>
          <w:lang w:val="uk-UA"/>
        </w:rPr>
      </w:pPr>
      <w:r>
        <w:rPr>
          <w:rStyle w:val="hps"/>
          <w:lang w:val="uk-UA"/>
        </w:rPr>
        <w:t>З</w:t>
      </w:r>
      <w:r w:rsidR="005E61E5" w:rsidRPr="00DD57A1">
        <w:rPr>
          <w:rStyle w:val="hps"/>
          <w:lang w:val="uk-UA"/>
        </w:rPr>
        <w:t>апаси - це активи, які  у формі сировини та інших матеріалів, призначених для споживання у виробничому процесі чи процесі надання фінансових послуг (сировина та матеріали).</w:t>
      </w:r>
    </w:p>
    <w:p w:rsidR="005E61E5" w:rsidRPr="00DD57A1" w:rsidRDefault="005E61E5" w:rsidP="00EA7DC6">
      <w:pPr>
        <w:ind w:firstLine="567"/>
        <w:jc w:val="both"/>
        <w:rPr>
          <w:rStyle w:val="hps"/>
          <w:lang w:val="uk-UA"/>
        </w:rPr>
      </w:pPr>
      <w:r w:rsidRPr="00DD57A1">
        <w:rPr>
          <w:rStyle w:val="hps"/>
          <w:lang w:val="uk-UA"/>
        </w:rPr>
        <w:t>Запаси - це оборотні активи, що не обмежені у використанні та призначені для реалізації або використання протягом року чи операційного циклу, якщо він довший за рік.</w:t>
      </w:r>
    </w:p>
    <w:p w:rsidR="005E61E5" w:rsidRPr="00DD57A1" w:rsidRDefault="005E61E5" w:rsidP="00EA7DC6">
      <w:pPr>
        <w:ind w:firstLine="567"/>
        <w:jc w:val="both"/>
        <w:rPr>
          <w:rStyle w:val="hps"/>
          <w:lang w:val="uk-UA"/>
        </w:rPr>
      </w:pPr>
      <w:r w:rsidRPr="00DD57A1">
        <w:rPr>
          <w:rStyle w:val="hps"/>
          <w:lang w:val="uk-UA"/>
        </w:rPr>
        <w:t xml:space="preserve">Придбані </w:t>
      </w:r>
      <w:r w:rsidR="003754BE" w:rsidRPr="00DD57A1">
        <w:rPr>
          <w:lang w:val="uk-UA"/>
        </w:rPr>
        <w:t>Компані</w:t>
      </w:r>
      <w:r w:rsidR="003754BE">
        <w:rPr>
          <w:lang w:val="uk-UA"/>
        </w:rPr>
        <w:t>єю</w:t>
      </w:r>
      <w:r w:rsidRPr="00DD57A1">
        <w:rPr>
          <w:rStyle w:val="hps"/>
          <w:lang w:val="uk-UA"/>
        </w:rPr>
        <w:t xml:space="preserve"> запаси визнаються активом у разі задоволення усіх наведених нижче умов:</w:t>
      </w:r>
    </w:p>
    <w:p w:rsidR="005E61E5" w:rsidRPr="00DD57A1" w:rsidRDefault="005E61E5" w:rsidP="00EA7DC6">
      <w:pPr>
        <w:ind w:firstLine="567"/>
        <w:jc w:val="both"/>
        <w:rPr>
          <w:rStyle w:val="hps"/>
          <w:lang w:val="uk-UA"/>
        </w:rPr>
      </w:pPr>
      <w:r w:rsidRPr="00DD57A1">
        <w:rPr>
          <w:lang w:val="uk-UA"/>
        </w:rPr>
        <w:t xml:space="preserve">- </w:t>
      </w:r>
      <w:r w:rsidRPr="00DD57A1">
        <w:rPr>
          <w:rStyle w:val="hps"/>
          <w:lang w:val="uk-UA"/>
        </w:rPr>
        <w:t xml:space="preserve">до </w:t>
      </w:r>
      <w:r w:rsidR="003754BE" w:rsidRPr="00DD57A1">
        <w:rPr>
          <w:lang w:val="uk-UA"/>
        </w:rPr>
        <w:t>Компані</w:t>
      </w:r>
      <w:r w:rsidR="003754BE">
        <w:rPr>
          <w:lang w:val="uk-UA"/>
        </w:rPr>
        <w:t>ї</w:t>
      </w:r>
      <w:r w:rsidRPr="00DD57A1">
        <w:rPr>
          <w:rStyle w:val="hps"/>
          <w:lang w:val="uk-UA"/>
        </w:rPr>
        <w:t xml:space="preserve"> перейшли усі суттєві ризики та вигоди, пов'язані з власністю на запаси;</w:t>
      </w:r>
    </w:p>
    <w:p w:rsidR="005E61E5" w:rsidRPr="00DD57A1" w:rsidRDefault="005E61E5" w:rsidP="00EA7DC6">
      <w:pPr>
        <w:ind w:firstLine="567"/>
        <w:jc w:val="both"/>
        <w:rPr>
          <w:rStyle w:val="hps"/>
          <w:lang w:val="uk-UA"/>
        </w:rPr>
      </w:pPr>
      <w:r w:rsidRPr="00DD57A1">
        <w:rPr>
          <w:rStyle w:val="hps"/>
          <w:lang w:val="uk-UA"/>
        </w:rPr>
        <w:t xml:space="preserve">- </w:t>
      </w:r>
      <w:r w:rsidR="003754BE" w:rsidRPr="00DD57A1">
        <w:rPr>
          <w:lang w:val="uk-UA"/>
        </w:rPr>
        <w:t>Компанія</w:t>
      </w:r>
      <w:r w:rsidR="00256D3C">
        <w:rPr>
          <w:rStyle w:val="hps"/>
          <w:lang w:val="uk-UA"/>
        </w:rPr>
        <w:t xml:space="preserve"> отримал</w:t>
      </w:r>
      <w:r w:rsidR="003754BE">
        <w:rPr>
          <w:rStyle w:val="hps"/>
          <w:lang w:val="uk-UA"/>
        </w:rPr>
        <w:t>а</w:t>
      </w:r>
      <w:r w:rsidRPr="00DD57A1">
        <w:rPr>
          <w:rStyle w:val="hps"/>
          <w:lang w:val="uk-UA"/>
        </w:rPr>
        <w:t xml:space="preserve"> контроль над запасами та здійснює управління ними тією мірою, яка звичайно пов'язана з правом власності;</w:t>
      </w:r>
    </w:p>
    <w:p w:rsidR="005E61E5" w:rsidRPr="00100582" w:rsidRDefault="005E61E5" w:rsidP="00EA7DC6">
      <w:pPr>
        <w:ind w:firstLine="567"/>
        <w:jc w:val="both"/>
      </w:pPr>
      <w:r w:rsidRPr="00DD57A1">
        <w:rPr>
          <w:rStyle w:val="hps"/>
          <w:lang w:val="uk-UA"/>
        </w:rPr>
        <w:t>-</w:t>
      </w:r>
      <w:r w:rsidR="00CA07C8">
        <w:rPr>
          <w:rStyle w:val="hps"/>
          <w:lang w:val="uk-UA"/>
        </w:rPr>
        <w:t xml:space="preserve"> </w:t>
      </w:r>
      <w:r w:rsidRPr="00100582">
        <w:t>собівартість запасів може бути достовірно визначена;</w:t>
      </w:r>
    </w:p>
    <w:p w:rsidR="005E61E5" w:rsidRPr="00B310F5" w:rsidRDefault="00CA07C8" w:rsidP="00EA7DC6">
      <w:pPr>
        <w:tabs>
          <w:tab w:val="left" w:pos="142"/>
        </w:tabs>
        <w:rPr>
          <w:rStyle w:val="hps"/>
          <w:lang w:val="uk-UA"/>
        </w:rPr>
      </w:pPr>
      <w:r>
        <w:rPr>
          <w:lang w:val="uk-UA"/>
        </w:rPr>
        <w:tab/>
        <w:t xml:space="preserve">       </w:t>
      </w:r>
      <w:r w:rsidR="00100582">
        <w:rPr>
          <w:lang w:val="uk-UA"/>
        </w:rPr>
        <w:t>-</w:t>
      </w:r>
      <w:r>
        <w:rPr>
          <w:lang w:val="uk-UA"/>
        </w:rPr>
        <w:t xml:space="preserve"> </w:t>
      </w:r>
      <w:r w:rsidR="005E61E5" w:rsidRPr="00CA07C8">
        <w:rPr>
          <w:lang w:val="uk-UA"/>
        </w:rPr>
        <w:t>існує ймовірність надходження</w:t>
      </w:r>
      <w:r w:rsidR="005E61E5" w:rsidRPr="00DD57A1">
        <w:rPr>
          <w:rStyle w:val="hps"/>
          <w:lang w:val="uk-UA"/>
        </w:rPr>
        <w:t xml:space="preserve"> до підприємства майбутніх економічних вигод, пов'язаних із запасами</w:t>
      </w:r>
      <w:r w:rsidR="005E61E5" w:rsidRPr="00B310F5">
        <w:rPr>
          <w:rStyle w:val="hps"/>
          <w:lang w:val="uk-UA"/>
        </w:rPr>
        <w:t>.</w:t>
      </w:r>
    </w:p>
    <w:p w:rsidR="005E61E5" w:rsidRPr="00DD57A1" w:rsidRDefault="005E61E5" w:rsidP="00EA7DC6">
      <w:pPr>
        <w:ind w:firstLine="567"/>
        <w:jc w:val="both"/>
        <w:rPr>
          <w:rStyle w:val="hps"/>
          <w:lang w:val="uk-UA"/>
        </w:rPr>
      </w:pPr>
      <w:r w:rsidRPr="00DD57A1">
        <w:rPr>
          <w:rStyle w:val="hps"/>
          <w:lang w:val="uk-UA"/>
        </w:rPr>
        <w:t>Оцінка вартості запасів  відбувається за сумою сплачених (або належних до сплати) грошових коштів чи їх еквівалентів, або за справедливою вартістю іншого відшкодування, переданого постачальникові на дату придбання</w:t>
      </w:r>
    </w:p>
    <w:p w:rsidR="005E61E5" w:rsidRDefault="005E61E5" w:rsidP="00EA7DC6">
      <w:pPr>
        <w:ind w:firstLine="567"/>
        <w:jc w:val="both"/>
        <w:rPr>
          <w:lang w:val="uk-UA"/>
        </w:rPr>
      </w:pPr>
      <w:r w:rsidRPr="00DD57A1">
        <w:rPr>
          <w:lang w:val="uk-UA"/>
        </w:rPr>
        <w:t xml:space="preserve">Стаття запасів не є суттєвою для </w:t>
      </w:r>
      <w:r w:rsidR="003754BE">
        <w:rPr>
          <w:lang w:val="uk-UA"/>
        </w:rPr>
        <w:t>Компанії</w:t>
      </w:r>
      <w:r w:rsidRPr="00DD57A1">
        <w:rPr>
          <w:lang w:val="uk-UA"/>
        </w:rPr>
        <w:t>, оскільки матеріаломісткість процесу надання фінансових послуг  доволі низька.</w:t>
      </w:r>
    </w:p>
    <w:p w:rsidR="00CF2A19" w:rsidRDefault="00CF2A19" w:rsidP="00C429BC">
      <w:pPr>
        <w:ind w:firstLine="567"/>
        <w:jc w:val="both"/>
        <w:rPr>
          <w:lang w:val="uk-UA"/>
        </w:rPr>
      </w:pPr>
    </w:p>
    <w:p w:rsidR="005E61E5" w:rsidRPr="00DD57A1" w:rsidRDefault="009C5FE1" w:rsidP="00C429BC">
      <w:pPr>
        <w:ind w:firstLine="567"/>
        <w:jc w:val="both"/>
        <w:rPr>
          <w:b/>
          <w:lang w:val="uk-UA"/>
        </w:rPr>
      </w:pPr>
      <w:r>
        <w:rPr>
          <w:b/>
          <w:lang w:val="uk-UA"/>
        </w:rPr>
        <w:t>3.5</w:t>
      </w:r>
      <w:r w:rsidR="0068013B">
        <w:rPr>
          <w:b/>
          <w:lang w:val="uk-UA"/>
        </w:rPr>
        <w:t>.</w:t>
      </w:r>
      <w:r w:rsidR="00E630BE" w:rsidRPr="00DD57A1">
        <w:rPr>
          <w:b/>
          <w:lang w:val="uk-UA"/>
        </w:rPr>
        <w:t xml:space="preserve"> </w:t>
      </w:r>
      <w:r w:rsidR="005E61E5" w:rsidRPr="00DD57A1">
        <w:rPr>
          <w:b/>
          <w:lang w:val="uk-UA"/>
        </w:rPr>
        <w:t>Податок на прибуток</w:t>
      </w:r>
    </w:p>
    <w:p w:rsidR="002970DA" w:rsidRPr="002970DA" w:rsidRDefault="002970DA" w:rsidP="00EA7DC6">
      <w:pPr>
        <w:ind w:firstLine="567"/>
        <w:jc w:val="both"/>
        <w:rPr>
          <w:rStyle w:val="hps"/>
          <w:lang w:val="uk-UA"/>
        </w:rPr>
      </w:pPr>
      <w:r w:rsidRPr="002970DA">
        <w:rPr>
          <w:rStyle w:val="hps"/>
          <w:lang w:val="uk-UA"/>
        </w:rPr>
        <w:t>Витрати з податку на прибуток визначаються і відображаються у фінансовій звітності Товариства відповідно до МСБО 12 «Податок на прибуток».</w:t>
      </w:r>
    </w:p>
    <w:p w:rsidR="005E61E5" w:rsidRPr="008744AB" w:rsidRDefault="005E61E5" w:rsidP="00EA7DC6">
      <w:pPr>
        <w:ind w:firstLine="567"/>
        <w:jc w:val="both"/>
        <w:rPr>
          <w:rStyle w:val="hps"/>
          <w:lang w:val="uk-UA"/>
        </w:rPr>
      </w:pPr>
      <w:r w:rsidRPr="00DD57A1">
        <w:rPr>
          <w:rStyle w:val="hps"/>
          <w:lang w:val="uk-UA"/>
        </w:rPr>
        <w:t>Податок</w:t>
      </w:r>
      <w:r w:rsidRPr="002970DA">
        <w:rPr>
          <w:rStyle w:val="hps"/>
          <w:lang w:val="uk-UA"/>
        </w:rPr>
        <w:t xml:space="preserve"> </w:t>
      </w:r>
      <w:r w:rsidRPr="00DD57A1">
        <w:rPr>
          <w:rStyle w:val="hps"/>
          <w:lang w:val="uk-UA"/>
        </w:rPr>
        <w:t>на</w:t>
      </w:r>
      <w:r w:rsidRPr="002970DA">
        <w:rPr>
          <w:rStyle w:val="hps"/>
          <w:lang w:val="uk-UA"/>
        </w:rPr>
        <w:t xml:space="preserve"> </w:t>
      </w:r>
      <w:r w:rsidRPr="00DD57A1">
        <w:rPr>
          <w:rStyle w:val="hps"/>
          <w:lang w:val="uk-UA"/>
        </w:rPr>
        <w:t>прибуток</w:t>
      </w:r>
      <w:r w:rsidRPr="002970DA">
        <w:rPr>
          <w:rStyle w:val="hps"/>
          <w:lang w:val="uk-UA"/>
        </w:rPr>
        <w:t xml:space="preserve"> </w:t>
      </w:r>
      <w:r w:rsidRPr="00DD57A1">
        <w:rPr>
          <w:rStyle w:val="hps"/>
          <w:lang w:val="uk-UA"/>
        </w:rPr>
        <w:t>відображений</w:t>
      </w:r>
      <w:r w:rsidRPr="002970DA">
        <w:rPr>
          <w:rStyle w:val="hps"/>
          <w:lang w:val="uk-UA"/>
        </w:rPr>
        <w:t xml:space="preserve"> </w:t>
      </w:r>
      <w:r w:rsidRPr="00DD57A1">
        <w:rPr>
          <w:rStyle w:val="hps"/>
          <w:lang w:val="uk-UA"/>
        </w:rPr>
        <w:t>у фінансовій звітності</w:t>
      </w:r>
      <w:r w:rsidRPr="002970DA">
        <w:rPr>
          <w:rStyle w:val="hps"/>
          <w:lang w:val="uk-UA"/>
        </w:rPr>
        <w:t xml:space="preserve"> </w:t>
      </w:r>
      <w:r w:rsidRPr="00DD57A1">
        <w:rPr>
          <w:rStyle w:val="hps"/>
          <w:lang w:val="uk-UA"/>
        </w:rPr>
        <w:t>відповідно до законодавства</w:t>
      </w:r>
      <w:r w:rsidRPr="002970DA">
        <w:rPr>
          <w:rStyle w:val="hps"/>
          <w:lang w:val="uk-UA"/>
        </w:rPr>
        <w:t xml:space="preserve">, </w:t>
      </w:r>
      <w:r w:rsidRPr="00DD57A1">
        <w:rPr>
          <w:rStyle w:val="hps"/>
          <w:lang w:val="uk-UA"/>
        </w:rPr>
        <w:t>яке</w:t>
      </w:r>
      <w:r w:rsidRPr="002970DA">
        <w:rPr>
          <w:rStyle w:val="hps"/>
          <w:lang w:val="uk-UA"/>
        </w:rPr>
        <w:t xml:space="preserve"> </w:t>
      </w:r>
      <w:r w:rsidRPr="00DD57A1">
        <w:rPr>
          <w:rStyle w:val="hps"/>
          <w:lang w:val="uk-UA"/>
        </w:rPr>
        <w:t>вступило</w:t>
      </w:r>
      <w:r w:rsidRPr="002970DA">
        <w:rPr>
          <w:rStyle w:val="hps"/>
          <w:lang w:val="uk-UA"/>
        </w:rPr>
        <w:t xml:space="preserve"> </w:t>
      </w:r>
      <w:r w:rsidRPr="00DD57A1">
        <w:rPr>
          <w:rStyle w:val="hps"/>
          <w:lang w:val="uk-UA"/>
        </w:rPr>
        <w:t>в</w:t>
      </w:r>
      <w:r w:rsidRPr="002970DA">
        <w:rPr>
          <w:rStyle w:val="hps"/>
          <w:lang w:val="uk-UA"/>
        </w:rPr>
        <w:t xml:space="preserve"> </w:t>
      </w:r>
      <w:r w:rsidRPr="00DD57A1">
        <w:rPr>
          <w:rStyle w:val="hps"/>
          <w:lang w:val="uk-UA"/>
        </w:rPr>
        <w:t>дію</w:t>
      </w:r>
      <w:r w:rsidRPr="002970DA">
        <w:rPr>
          <w:rStyle w:val="hps"/>
          <w:lang w:val="uk-UA"/>
        </w:rPr>
        <w:t xml:space="preserve"> </w:t>
      </w:r>
      <w:r w:rsidRPr="00DD57A1">
        <w:rPr>
          <w:rStyle w:val="hps"/>
          <w:lang w:val="uk-UA"/>
        </w:rPr>
        <w:t>або</w:t>
      </w:r>
      <w:r w:rsidRPr="002970DA">
        <w:rPr>
          <w:rStyle w:val="hps"/>
          <w:lang w:val="uk-UA"/>
        </w:rPr>
        <w:t xml:space="preserve"> </w:t>
      </w:r>
      <w:r w:rsidRPr="00DD57A1">
        <w:rPr>
          <w:rStyle w:val="hps"/>
          <w:lang w:val="uk-UA"/>
        </w:rPr>
        <w:t>має бути введено</w:t>
      </w:r>
      <w:r w:rsidRPr="002970DA">
        <w:rPr>
          <w:rStyle w:val="hps"/>
          <w:lang w:val="uk-UA"/>
        </w:rPr>
        <w:t xml:space="preserve"> </w:t>
      </w:r>
      <w:r w:rsidRPr="00DD57A1">
        <w:rPr>
          <w:rStyle w:val="hps"/>
          <w:lang w:val="uk-UA"/>
        </w:rPr>
        <w:t>в</w:t>
      </w:r>
      <w:r w:rsidRPr="002970DA">
        <w:rPr>
          <w:rStyle w:val="hps"/>
          <w:lang w:val="uk-UA"/>
        </w:rPr>
        <w:t xml:space="preserve"> </w:t>
      </w:r>
      <w:r w:rsidRPr="00DD57A1">
        <w:rPr>
          <w:rStyle w:val="hps"/>
          <w:lang w:val="uk-UA"/>
        </w:rPr>
        <w:t>дію</w:t>
      </w:r>
      <w:r w:rsidRPr="002970DA">
        <w:rPr>
          <w:rStyle w:val="hps"/>
          <w:lang w:val="uk-UA"/>
        </w:rPr>
        <w:t xml:space="preserve"> </w:t>
      </w:r>
      <w:r w:rsidRPr="00DD57A1">
        <w:rPr>
          <w:rStyle w:val="hps"/>
          <w:lang w:val="uk-UA"/>
        </w:rPr>
        <w:t>станом</w:t>
      </w:r>
      <w:r w:rsidRPr="002970DA">
        <w:rPr>
          <w:rStyle w:val="hps"/>
          <w:lang w:val="uk-UA"/>
        </w:rPr>
        <w:t xml:space="preserve"> </w:t>
      </w:r>
      <w:r w:rsidRPr="00DD57A1">
        <w:rPr>
          <w:rStyle w:val="hps"/>
          <w:lang w:val="uk-UA"/>
        </w:rPr>
        <w:t>на</w:t>
      </w:r>
      <w:r w:rsidRPr="002970DA">
        <w:rPr>
          <w:rStyle w:val="hps"/>
          <w:lang w:val="uk-UA"/>
        </w:rPr>
        <w:t xml:space="preserve"> </w:t>
      </w:r>
      <w:r w:rsidRPr="00DD57A1">
        <w:rPr>
          <w:rStyle w:val="hps"/>
          <w:lang w:val="uk-UA"/>
        </w:rPr>
        <w:t>кінець звітного періоду</w:t>
      </w:r>
      <w:r w:rsidRPr="002970DA">
        <w:rPr>
          <w:rStyle w:val="hps"/>
          <w:lang w:val="uk-UA"/>
        </w:rPr>
        <w:t xml:space="preserve">. </w:t>
      </w:r>
      <w:r w:rsidRPr="00DD57A1">
        <w:rPr>
          <w:rStyle w:val="hps"/>
          <w:lang w:val="uk-UA"/>
        </w:rPr>
        <w:t>Витрати</w:t>
      </w:r>
      <w:r w:rsidRPr="002970DA">
        <w:rPr>
          <w:rStyle w:val="hps"/>
          <w:lang w:val="uk-UA"/>
        </w:rPr>
        <w:t xml:space="preserve"> </w:t>
      </w:r>
      <w:r w:rsidRPr="00DD57A1">
        <w:rPr>
          <w:rStyle w:val="hps"/>
          <w:lang w:val="uk-UA"/>
        </w:rPr>
        <w:t>з податку на прибуток</w:t>
      </w:r>
      <w:r w:rsidRPr="008744AB">
        <w:rPr>
          <w:rStyle w:val="hps"/>
        </w:rPr>
        <w:t xml:space="preserve"> </w:t>
      </w:r>
      <w:r w:rsidRPr="00DD57A1">
        <w:rPr>
          <w:rStyle w:val="hps"/>
          <w:lang w:val="uk-UA"/>
        </w:rPr>
        <w:t>включають</w:t>
      </w:r>
      <w:r w:rsidRPr="008744AB">
        <w:rPr>
          <w:rStyle w:val="hps"/>
        </w:rPr>
        <w:t xml:space="preserve"> </w:t>
      </w:r>
      <w:r w:rsidRPr="00DD57A1">
        <w:rPr>
          <w:rStyle w:val="hps"/>
          <w:lang w:val="uk-UA"/>
        </w:rPr>
        <w:t>поточний податок</w:t>
      </w:r>
      <w:r w:rsidRPr="008744AB">
        <w:rPr>
          <w:rStyle w:val="hps"/>
        </w:rPr>
        <w:t xml:space="preserve"> </w:t>
      </w:r>
      <w:r w:rsidRPr="00DD57A1">
        <w:rPr>
          <w:rStyle w:val="hps"/>
          <w:lang w:val="uk-UA"/>
        </w:rPr>
        <w:t>і відстрочений податок</w:t>
      </w:r>
      <w:r w:rsidRPr="008744AB">
        <w:rPr>
          <w:rStyle w:val="hps"/>
        </w:rPr>
        <w:t xml:space="preserve"> </w:t>
      </w:r>
      <w:r w:rsidRPr="00DD57A1">
        <w:rPr>
          <w:rStyle w:val="hps"/>
          <w:lang w:val="uk-UA"/>
        </w:rPr>
        <w:t>і</w:t>
      </w:r>
      <w:r w:rsidRPr="008744AB">
        <w:rPr>
          <w:rStyle w:val="hps"/>
        </w:rPr>
        <w:t xml:space="preserve"> </w:t>
      </w:r>
      <w:r w:rsidRPr="00DD57A1">
        <w:rPr>
          <w:rStyle w:val="hps"/>
          <w:lang w:val="uk-UA"/>
        </w:rPr>
        <w:t>визнаються</w:t>
      </w:r>
      <w:r w:rsidRPr="008744AB">
        <w:rPr>
          <w:rStyle w:val="hps"/>
        </w:rPr>
        <w:t xml:space="preserve"> </w:t>
      </w:r>
      <w:r w:rsidRPr="00DD57A1">
        <w:rPr>
          <w:rStyle w:val="hps"/>
          <w:lang w:val="uk-UA"/>
        </w:rPr>
        <w:t>у складі</w:t>
      </w:r>
      <w:r w:rsidRPr="008744AB">
        <w:rPr>
          <w:rStyle w:val="hps"/>
        </w:rPr>
        <w:t xml:space="preserve"> </w:t>
      </w:r>
      <w:r w:rsidRPr="00DD57A1">
        <w:rPr>
          <w:rStyle w:val="hps"/>
          <w:lang w:val="uk-UA"/>
        </w:rPr>
        <w:t>прибутку чи збитку за</w:t>
      </w:r>
      <w:r w:rsidRPr="008744AB">
        <w:rPr>
          <w:rStyle w:val="hps"/>
        </w:rPr>
        <w:t xml:space="preserve"> </w:t>
      </w:r>
      <w:r w:rsidR="0049114D" w:rsidRPr="008744AB">
        <w:rPr>
          <w:rStyle w:val="hps"/>
        </w:rPr>
        <w:t>період</w:t>
      </w:r>
      <w:r w:rsidRPr="008744AB">
        <w:rPr>
          <w:rStyle w:val="hps"/>
        </w:rPr>
        <w:t xml:space="preserve">, </w:t>
      </w:r>
      <w:r w:rsidRPr="00DD57A1">
        <w:rPr>
          <w:rStyle w:val="hps"/>
          <w:lang w:val="uk-UA"/>
        </w:rPr>
        <w:t>крім випадків</w:t>
      </w:r>
      <w:r w:rsidRPr="008744AB">
        <w:rPr>
          <w:rStyle w:val="hps"/>
        </w:rPr>
        <w:t xml:space="preserve">, </w:t>
      </w:r>
      <w:r w:rsidRPr="00DD57A1">
        <w:rPr>
          <w:rStyle w:val="hps"/>
          <w:lang w:val="uk-UA"/>
        </w:rPr>
        <w:t>коли</w:t>
      </w:r>
      <w:r w:rsidRPr="008744AB">
        <w:rPr>
          <w:rStyle w:val="hps"/>
        </w:rPr>
        <w:t xml:space="preserve"> </w:t>
      </w:r>
      <w:r w:rsidRPr="00DD57A1">
        <w:rPr>
          <w:rStyle w:val="hps"/>
          <w:lang w:val="uk-UA"/>
        </w:rPr>
        <w:t>вони</w:t>
      </w:r>
      <w:r w:rsidRPr="008744AB">
        <w:rPr>
          <w:rStyle w:val="hps"/>
        </w:rPr>
        <w:t xml:space="preserve"> </w:t>
      </w:r>
      <w:r w:rsidRPr="00DD57A1">
        <w:rPr>
          <w:rStyle w:val="hps"/>
          <w:lang w:val="uk-UA"/>
        </w:rPr>
        <w:t>відносяться до операцій,</w:t>
      </w:r>
      <w:r w:rsidRPr="008744AB">
        <w:rPr>
          <w:rStyle w:val="hps"/>
        </w:rPr>
        <w:t xml:space="preserve"> </w:t>
      </w:r>
      <w:r w:rsidRPr="00DD57A1">
        <w:rPr>
          <w:rStyle w:val="hps"/>
          <w:lang w:val="uk-UA"/>
        </w:rPr>
        <w:t>визнаних</w:t>
      </w:r>
      <w:r w:rsidRPr="008744AB">
        <w:rPr>
          <w:rStyle w:val="hps"/>
          <w:lang w:val="uk-UA"/>
        </w:rPr>
        <w:t xml:space="preserve"> </w:t>
      </w:r>
      <w:r w:rsidRPr="00DD57A1">
        <w:rPr>
          <w:rStyle w:val="hps"/>
          <w:lang w:val="uk-UA"/>
        </w:rPr>
        <w:t>в</w:t>
      </w:r>
      <w:r w:rsidRPr="008744AB">
        <w:rPr>
          <w:rStyle w:val="hps"/>
          <w:lang w:val="uk-UA"/>
        </w:rPr>
        <w:t xml:space="preserve"> </w:t>
      </w:r>
      <w:r w:rsidRPr="00DD57A1">
        <w:rPr>
          <w:rStyle w:val="hps"/>
          <w:lang w:val="uk-UA"/>
        </w:rPr>
        <w:t>інших</w:t>
      </w:r>
      <w:r w:rsidRPr="008744AB">
        <w:rPr>
          <w:rStyle w:val="hps"/>
          <w:lang w:val="uk-UA"/>
        </w:rPr>
        <w:t xml:space="preserve"> </w:t>
      </w:r>
      <w:r w:rsidRPr="00DD57A1">
        <w:rPr>
          <w:rStyle w:val="hps"/>
          <w:lang w:val="uk-UA"/>
        </w:rPr>
        <w:t>сукупних доходах</w:t>
      </w:r>
      <w:r w:rsidRPr="008744AB">
        <w:rPr>
          <w:rStyle w:val="hps"/>
          <w:lang w:val="uk-UA"/>
        </w:rPr>
        <w:t xml:space="preserve"> </w:t>
      </w:r>
      <w:r w:rsidRPr="00DD57A1">
        <w:rPr>
          <w:rStyle w:val="hps"/>
          <w:lang w:val="uk-UA"/>
        </w:rPr>
        <w:t>або</w:t>
      </w:r>
      <w:r w:rsidRPr="008744AB">
        <w:rPr>
          <w:rStyle w:val="hps"/>
          <w:lang w:val="uk-UA"/>
        </w:rPr>
        <w:t xml:space="preserve"> </w:t>
      </w:r>
      <w:r w:rsidRPr="00DD57A1">
        <w:rPr>
          <w:rStyle w:val="hps"/>
          <w:lang w:val="uk-UA"/>
        </w:rPr>
        <w:t>безпосередньо</w:t>
      </w:r>
      <w:r w:rsidRPr="008744AB">
        <w:rPr>
          <w:rStyle w:val="hps"/>
          <w:lang w:val="uk-UA"/>
        </w:rPr>
        <w:t xml:space="preserve"> </w:t>
      </w:r>
      <w:r w:rsidRPr="00DD57A1">
        <w:rPr>
          <w:rStyle w:val="hps"/>
          <w:lang w:val="uk-UA"/>
        </w:rPr>
        <w:t>у складі</w:t>
      </w:r>
      <w:r w:rsidRPr="008744AB">
        <w:rPr>
          <w:rStyle w:val="hps"/>
          <w:lang w:val="uk-UA"/>
        </w:rPr>
        <w:t xml:space="preserve"> </w:t>
      </w:r>
      <w:r w:rsidRPr="00DD57A1">
        <w:rPr>
          <w:rStyle w:val="hps"/>
          <w:lang w:val="uk-UA"/>
        </w:rPr>
        <w:t>капіталу</w:t>
      </w:r>
      <w:r w:rsidRPr="008744AB">
        <w:rPr>
          <w:rStyle w:val="hps"/>
          <w:lang w:val="uk-UA"/>
        </w:rPr>
        <w:t xml:space="preserve">, </w:t>
      </w:r>
      <w:r w:rsidRPr="00DD57A1">
        <w:rPr>
          <w:rStyle w:val="hps"/>
          <w:lang w:val="uk-UA"/>
        </w:rPr>
        <w:t>в</w:t>
      </w:r>
      <w:r w:rsidRPr="008744AB">
        <w:rPr>
          <w:rStyle w:val="hps"/>
          <w:lang w:val="uk-UA"/>
        </w:rPr>
        <w:t xml:space="preserve"> </w:t>
      </w:r>
      <w:r w:rsidRPr="00DD57A1">
        <w:rPr>
          <w:rStyle w:val="hps"/>
          <w:lang w:val="uk-UA"/>
        </w:rPr>
        <w:t>тому ж</w:t>
      </w:r>
      <w:r w:rsidRPr="008744AB">
        <w:rPr>
          <w:rStyle w:val="hps"/>
          <w:lang w:val="uk-UA"/>
        </w:rPr>
        <w:t xml:space="preserve"> </w:t>
      </w:r>
      <w:r w:rsidRPr="00DD57A1">
        <w:rPr>
          <w:rStyle w:val="hps"/>
          <w:lang w:val="uk-UA"/>
        </w:rPr>
        <w:t>або іншому</w:t>
      </w:r>
      <w:r w:rsidRPr="008744AB">
        <w:rPr>
          <w:rStyle w:val="hps"/>
          <w:lang w:val="uk-UA"/>
        </w:rPr>
        <w:t xml:space="preserve"> </w:t>
      </w:r>
      <w:r w:rsidRPr="00DD57A1">
        <w:rPr>
          <w:rStyle w:val="hps"/>
          <w:lang w:val="uk-UA"/>
        </w:rPr>
        <w:t>періоді</w:t>
      </w:r>
      <w:r w:rsidRPr="008744AB">
        <w:rPr>
          <w:rStyle w:val="hps"/>
          <w:lang w:val="uk-UA"/>
        </w:rPr>
        <w:t>.</w:t>
      </w:r>
    </w:p>
    <w:p w:rsidR="008744AB" w:rsidRPr="008744AB" w:rsidRDefault="005E61E5" w:rsidP="00EA7DC6">
      <w:pPr>
        <w:ind w:firstLine="567"/>
        <w:jc w:val="both"/>
        <w:rPr>
          <w:rStyle w:val="hps"/>
          <w:lang w:val="uk-UA"/>
        </w:rPr>
      </w:pPr>
      <w:r w:rsidRPr="00DD57A1">
        <w:rPr>
          <w:rStyle w:val="hps"/>
          <w:lang w:val="uk-UA"/>
        </w:rPr>
        <w:t>Поточний</w:t>
      </w:r>
      <w:r w:rsidRPr="008744AB">
        <w:rPr>
          <w:rStyle w:val="hps"/>
          <w:lang w:val="uk-UA"/>
        </w:rPr>
        <w:t xml:space="preserve"> </w:t>
      </w:r>
      <w:r w:rsidRPr="00DD57A1">
        <w:rPr>
          <w:rStyle w:val="hps"/>
          <w:lang w:val="uk-UA"/>
        </w:rPr>
        <w:t>податок</w:t>
      </w:r>
      <w:r w:rsidRPr="008744AB">
        <w:rPr>
          <w:rStyle w:val="hps"/>
          <w:lang w:val="uk-UA"/>
        </w:rPr>
        <w:t xml:space="preserve"> </w:t>
      </w:r>
      <w:r w:rsidRPr="00DD57A1">
        <w:rPr>
          <w:rStyle w:val="hps"/>
          <w:lang w:val="uk-UA"/>
        </w:rPr>
        <w:t>-</w:t>
      </w:r>
      <w:r w:rsidRPr="008744AB">
        <w:rPr>
          <w:rStyle w:val="hps"/>
          <w:lang w:val="uk-UA"/>
        </w:rPr>
        <w:t xml:space="preserve"> </w:t>
      </w:r>
      <w:r w:rsidRPr="00DD57A1">
        <w:rPr>
          <w:rStyle w:val="hps"/>
          <w:lang w:val="uk-UA"/>
        </w:rPr>
        <w:t>це</w:t>
      </w:r>
      <w:r w:rsidRPr="008744AB">
        <w:rPr>
          <w:rStyle w:val="hps"/>
          <w:lang w:val="uk-UA"/>
        </w:rPr>
        <w:t xml:space="preserve"> </w:t>
      </w:r>
      <w:r w:rsidRPr="00DD57A1">
        <w:rPr>
          <w:rStyle w:val="hps"/>
          <w:lang w:val="uk-UA"/>
        </w:rPr>
        <w:t>сума, яку</w:t>
      </w:r>
      <w:r w:rsidRPr="008744AB">
        <w:rPr>
          <w:rStyle w:val="hps"/>
          <w:lang w:val="uk-UA"/>
        </w:rPr>
        <w:t xml:space="preserve">, </w:t>
      </w:r>
      <w:r w:rsidRPr="00DD57A1">
        <w:rPr>
          <w:rStyle w:val="hps"/>
          <w:lang w:val="uk-UA"/>
        </w:rPr>
        <w:t>як очікується</w:t>
      </w:r>
      <w:r w:rsidRPr="008744AB">
        <w:rPr>
          <w:rStyle w:val="hps"/>
          <w:lang w:val="uk-UA"/>
        </w:rPr>
        <w:t xml:space="preserve">, </w:t>
      </w:r>
      <w:r w:rsidRPr="00DD57A1">
        <w:rPr>
          <w:rStyle w:val="hps"/>
          <w:lang w:val="uk-UA"/>
        </w:rPr>
        <w:t>необхідно буде сплатити</w:t>
      </w:r>
      <w:r w:rsidRPr="008744AB">
        <w:rPr>
          <w:rStyle w:val="hps"/>
          <w:lang w:val="uk-UA"/>
        </w:rPr>
        <w:t xml:space="preserve"> </w:t>
      </w:r>
      <w:r w:rsidRPr="00DD57A1">
        <w:rPr>
          <w:rStyle w:val="hps"/>
          <w:lang w:val="uk-UA"/>
        </w:rPr>
        <w:t>або</w:t>
      </w:r>
      <w:r w:rsidRPr="008744AB">
        <w:rPr>
          <w:rStyle w:val="hps"/>
          <w:lang w:val="uk-UA"/>
        </w:rPr>
        <w:t xml:space="preserve"> </w:t>
      </w:r>
      <w:r w:rsidRPr="00DD57A1">
        <w:rPr>
          <w:rStyle w:val="hps"/>
          <w:lang w:val="uk-UA"/>
        </w:rPr>
        <w:t>відшкодувати</w:t>
      </w:r>
      <w:r w:rsidRPr="008744AB">
        <w:rPr>
          <w:rStyle w:val="hps"/>
          <w:lang w:val="uk-UA"/>
        </w:rPr>
        <w:t xml:space="preserve"> </w:t>
      </w:r>
      <w:r w:rsidRPr="00DD57A1">
        <w:rPr>
          <w:rStyle w:val="hps"/>
          <w:lang w:val="uk-UA"/>
        </w:rPr>
        <w:t>у податкових органів</w:t>
      </w:r>
      <w:r w:rsidRPr="008744AB">
        <w:rPr>
          <w:rStyle w:val="hps"/>
          <w:lang w:val="uk-UA"/>
        </w:rPr>
        <w:t xml:space="preserve"> </w:t>
      </w:r>
      <w:r w:rsidRPr="00DD57A1">
        <w:rPr>
          <w:rStyle w:val="hps"/>
          <w:lang w:val="uk-UA"/>
        </w:rPr>
        <w:t>щодо</w:t>
      </w:r>
      <w:r w:rsidRPr="008744AB">
        <w:rPr>
          <w:rStyle w:val="hps"/>
          <w:lang w:val="uk-UA"/>
        </w:rPr>
        <w:t xml:space="preserve"> </w:t>
      </w:r>
      <w:r w:rsidRPr="00DD57A1">
        <w:rPr>
          <w:rStyle w:val="hps"/>
          <w:lang w:val="uk-UA"/>
        </w:rPr>
        <w:t>оподатковуваного прибутку</w:t>
      </w:r>
      <w:r w:rsidRPr="008744AB">
        <w:rPr>
          <w:rStyle w:val="hps"/>
          <w:lang w:val="uk-UA"/>
        </w:rPr>
        <w:t xml:space="preserve"> </w:t>
      </w:r>
      <w:r w:rsidRPr="00DD57A1">
        <w:rPr>
          <w:rStyle w:val="hps"/>
          <w:lang w:val="uk-UA"/>
        </w:rPr>
        <w:t>чи</w:t>
      </w:r>
      <w:r w:rsidRPr="008744AB">
        <w:rPr>
          <w:rStyle w:val="hps"/>
          <w:lang w:val="uk-UA"/>
        </w:rPr>
        <w:t xml:space="preserve"> </w:t>
      </w:r>
      <w:r w:rsidRPr="00DD57A1">
        <w:rPr>
          <w:rStyle w:val="hps"/>
          <w:lang w:val="uk-UA"/>
        </w:rPr>
        <w:t>збитків поточного та</w:t>
      </w:r>
      <w:r w:rsidRPr="008744AB">
        <w:rPr>
          <w:rStyle w:val="hps"/>
          <w:lang w:val="uk-UA"/>
        </w:rPr>
        <w:t xml:space="preserve"> </w:t>
      </w:r>
      <w:r w:rsidRPr="00DD57A1">
        <w:rPr>
          <w:rStyle w:val="hps"/>
          <w:lang w:val="uk-UA"/>
        </w:rPr>
        <w:t>попередніх періодів</w:t>
      </w:r>
      <w:r w:rsidRPr="008744AB">
        <w:rPr>
          <w:rStyle w:val="hps"/>
          <w:lang w:val="uk-UA"/>
        </w:rPr>
        <w:t xml:space="preserve">. </w:t>
      </w:r>
      <w:r w:rsidRPr="00DD57A1">
        <w:rPr>
          <w:rStyle w:val="hps"/>
          <w:lang w:val="uk-UA"/>
        </w:rPr>
        <w:t>Якщо</w:t>
      </w:r>
      <w:r w:rsidRPr="008744AB">
        <w:rPr>
          <w:rStyle w:val="hps"/>
          <w:lang w:val="uk-UA"/>
        </w:rPr>
        <w:t xml:space="preserve"> </w:t>
      </w:r>
      <w:r w:rsidRPr="00DD57A1">
        <w:rPr>
          <w:rStyle w:val="hps"/>
          <w:lang w:val="uk-UA"/>
        </w:rPr>
        <w:t>фінансова звітність</w:t>
      </w:r>
      <w:r w:rsidRPr="008744AB">
        <w:rPr>
          <w:rStyle w:val="hps"/>
          <w:lang w:val="uk-UA"/>
        </w:rPr>
        <w:t xml:space="preserve"> </w:t>
      </w:r>
      <w:r w:rsidRPr="00DD57A1">
        <w:rPr>
          <w:rStyle w:val="hps"/>
          <w:lang w:val="uk-UA"/>
        </w:rPr>
        <w:t>затверджується до</w:t>
      </w:r>
      <w:r w:rsidRPr="008744AB">
        <w:rPr>
          <w:rStyle w:val="hps"/>
          <w:lang w:val="uk-UA"/>
        </w:rPr>
        <w:t xml:space="preserve"> </w:t>
      </w:r>
      <w:r w:rsidRPr="00DD57A1">
        <w:rPr>
          <w:rStyle w:val="hps"/>
          <w:lang w:val="uk-UA"/>
        </w:rPr>
        <w:t>подачі</w:t>
      </w:r>
      <w:r w:rsidRPr="008744AB">
        <w:rPr>
          <w:rStyle w:val="hps"/>
          <w:lang w:val="uk-UA"/>
        </w:rPr>
        <w:t xml:space="preserve"> </w:t>
      </w:r>
      <w:r w:rsidRPr="00DD57A1">
        <w:rPr>
          <w:rStyle w:val="hps"/>
          <w:lang w:val="uk-UA"/>
        </w:rPr>
        <w:t>відповідних</w:t>
      </w:r>
      <w:r w:rsidRPr="008744AB">
        <w:rPr>
          <w:rStyle w:val="hps"/>
          <w:lang w:val="uk-UA"/>
        </w:rPr>
        <w:t xml:space="preserve"> </w:t>
      </w:r>
      <w:r w:rsidRPr="00DD57A1">
        <w:rPr>
          <w:rStyle w:val="hps"/>
          <w:lang w:val="uk-UA"/>
        </w:rPr>
        <w:t>податкових декларацій</w:t>
      </w:r>
      <w:r w:rsidRPr="008744AB">
        <w:rPr>
          <w:rStyle w:val="hps"/>
          <w:lang w:val="uk-UA"/>
        </w:rPr>
        <w:t xml:space="preserve">, оподатковуваний прибуток </w:t>
      </w:r>
      <w:r w:rsidRPr="00DD57A1">
        <w:rPr>
          <w:rStyle w:val="hps"/>
          <w:lang w:val="uk-UA"/>
        </w:rPr>
        <w:t>або</w:t>
      </w:r>
      <w:r w:rsidRPr="008744AB">
        <w:rPr>
          <w:rStyle w:val="hps"/>
          <w:lang w:val="uk-UA"/>
        </w:rPr>
        <w:t xml:space="preserve"> </w:t>
      </w:r>
      <w:r w:rsidRPr="00DD57A1">
        <w:rPr>
          <w:rStyle w:val="hps"/>
          <w:lang w:val="uk-UA"/>
        </w:rPr>
        <w:t>податковий збиток</w:t>
      </w:r>
      <w:r w:rsidRPr="008744AB">
        <w:rPr>
          <w:rStyle w:val="hps"/>
          <w:lang w:val="uk-UA"/>
        </w:rPr>
        <w:t xml:space="preserve"> </w:t>
      </w:r>
      <w:r w:rsidRPr="00DD57A1">
        <w:rPr>
          <w:rStyle w:val="hps"/>
          <w:lang w:val="uk-UA"/>
        </w:rPr>
        <w:t>визначаються</w:t>
      </w:r>
      <w:r w:rsidRPr="008744AB">
        <w:rPr>
          <w:rStyle w:val="hps"/>
          <w:lang w:val="uk-UA"/>
        </w:rPr>
        <w:t xml:space="preserve"> </w:t>
      </w:r>
      <w:r w:rsidRPr="00DD57A1">
        <w:rPr>
          <w:rStyle w:val="hps"/>
          <w:lang w:val="uk-UA"/>
        </w:rPr>
        <w:t>розрахунковим шляхом</w:t>
      </w:r>
      <w:r w:rsidRPr="008744AB">
        <w:rPr>
          <w:rStyle w:val="hps"/>
          <w:lang w:val="uk-UA"/>
        </w:rPr>
        <w:t xml:space="preserve">. </w:t>
      </w:r>
      <w:r w:rsidRPr="00DD57A1">
        <w:rPr>
          <w:rStyle w:val="hps"/>
          <w:lang w:val="uk-UA"/>
        </w:rPr>
        <w:t>Інші податки</w:t>
      </w:r>
      <w:r w:rsidRPr="008744AB">
        <w:rPr>
          <w:rStyle w:val="hps"/>
          <w:lang w:val="uk-UA"/>
        </w:rPr>
        <w:t xml:space="preserve">, </w:t>
      </w:r>
      <w:r w:rsidRPr="00DD57A1">
        <w:rPr>
          <w:rStyle w:val="hps"/>
          <w:lang w:val="uk-UA"/>
        </w:rPr>
        <w:t>крім податку на прибуток</w:t>
      </w:r>
      <w:r w:rsidRPr="008744AB">
        <w:rPr>
          <w:rStyle w:val="hps"/>
          <w:lang w:val="uk-UA"/>
        </w:rPr>
        <w:t xml:space="preserve">, </w:t>
      </w:r>
      <w:r w:rsidRPr="00DD57A1">
        <w:rPr>
          <w:rStyle w:val="hps"/>
          <w:lang w:val="uk-UA"/>
        </w:rPr>
        <w:t>відображені</w:t>
      </w:r>
      <w:r w:rsidRPr="008744AB">
        <w:rPr>
          <w:rStyle w:val="hps"/>
          <w:lang w:val="uk-UA"/>
        </w:rPr>
        <w:t xml:space="preserve"> </w:t>
      </w:r>
      <w:r w:rsidRPr="00DD57A1">
        <w:rPr>
          <w:rStyle w:val="hps"/>
          <w:lang w:val="uk-UA"/>
        </w:rPr>
        <w:t>у складі</w:t>
      </w:r>
      <w:r w:rsidRPr="008744AB">
        <w:rPr>
          <w:rStyle w:val="hps"/>
          <w:lang w:val="uk-UA"/>
        </w:rPr>
        <w:t xml:space="preserve"> </w:t>
      </w:r>
      <w:r w:rsidRPr="00DD57A1">
        <w:rPr>
          <w:rStyle w:val="hps"/>
          <w:lang w:val="uk-UA"/>
        </w:rPr>
        <w:t>адміністративних</w:t>
      </w:r>
      <w:r w:rsidRPr="008744AB">
        <w:rPr>
          <w:rStyle w:val="hps"/>
          <w:lang w:val="uk-UA"/>
        </w:rPr>
        <w:t xml:space="preserve"> </w:t>
      </w:r>
      <w:r w:rsidRPr="00DD57A1">
        <w:rPr>
          <w:rStyle w:val="hps"/>
          <w:lang w:val="uk-UA"/>
        </w:rPr>
        <w:t>та інших операційних витрат</w:t>
      </w:r>
      <w:r w:rsidRPr="008744AB">
        <w:rPr>
          <w:rStyle w:val="hps"/>
          <w:lang w:val="uk-UA"/>
        </w:rPr>
        <w:t>.</w:t>
      </w:r>
      <w:r w:rsidR="008744AB" w:rsidRPr="008744AB">
        <w:rPr>
          <w:rStyle w:val="hps"/>
          <w:lang w:val="uk-UA"/>
        </w:rPr>
        <w:t xml:space="preserve"> Поточний податок на прибуток визначається виходячи з оподатковуваного прибутку за квартал/рік, розрахованої за правилами податкового законодавства України.</w:t>
      </w:r>
    </w:p>
    <w:p w:rsidR="005E61E5" w:rsidRDefault="005E61E5" w:rsidP="00EA7DC6">
      <w:pPr>
        <w:ind w:firstLine="567"/>
        <w:jc w:val="both"/>
        <w:rPr>
          <w:lang w:val="uk-UA"/>
        </w:rPr>
      </w:pPr>
      <w:r w:rsidRPr="008744AB">
        <w:rPr>
          <w:rStyle w:val="hps"/>
          <w:lang w:val="uk-UA"/>
        </w:rPr>
        <w:t xml:space="preserve">Відстрочений податок на прибуток розраховується за методом балансових зобов'язань відносно перенесених із минулих періодів податкових збитків та тимчасових різниць, що виникають між податковою базою активів та зобов'язань та їх балансовою вартістю для цілей фінансової звітності. </w:t>
      </w:r>
      <w:r w:rsidRPr="00DD57A1">
        <w:rPr>
          <w:rStyle w:val="hps"/>
          <w:lang w:val="uk-UA"/>
        </w:rPr>
        <w:t>Відповідно до</w:t>
      </w:r>
      <w:r w:rsidRPr="008744AB">
        <w:rPr>
          <w:rStyle w:val="hps"/>
          <w:lang w:val="uk-UA"/>
        </w:rPr>
        <w:t xml:space="preserve"> </w:t>
      </w:r>
      <w:r w:rsidRPr="00DD57A1">
        <w:rPr>
          <w:rStyle w:val="hps"/>
          <w:lang w:val="uk-UA"/>
        </w:rPr>
        <w:t>виключення</w:t>
      </w:r>
      <w:r w:rsidRPr="008744AB">
        <w:rPr>
          <w:rStyle w:val="hps"/>
          <w:lang w:val="uk-UA"/>
        </w:rPr>
        <w:t xml:space="preserve"> </w:t>
      </w:r>
      <w:r w:rsidRPr="00DD57A1">
        <w:rPr>
          <w:rStyle w:val="hps"/>
          <w:lang w:val="uk-UA"/>
        </w:rPr>
        <w:t>при</w:t>
      </w:r>
      <w:r w:rsidRPr="008744AB">
        <w:rPr>
          <w:rStyle w:val="hps"/>
          <w:lang w:val="uk-UA"/>
        </w:rPr>
        <w:t xml:space="preserve"> </w:t>
      </w:r>
      <w:r w:rsidRPr="00DD57A1">
        <w:rPr>
          <w:rStyle w:val="hps"/>
          <w:lang w:val="uk-UA"/>
        </w:rPr>
        <w:t>первісному визнанні</w:t>
      </w:r>
      <w:r w:rsidRPr="008744AB">
        <w:rPr>
          <w:rStyle w:val="hps"/>
          <w:lang w:val="uk-UA"/>
        </w:rPr>
        <w:t xml:space="preserve">, </w:t>
      </w:r>
      <w:r w:rsidRPr="00DD57A1">
        <w:rPr>
          <w:rStyle w:val="hps"/>
          <w:lang w:val="uk-UA"/>
        </w:rPr>
        <w:t>відстрочені податки</w:t>
      </w:r>
      <w:r w:rsidRPr="008744AB">
        <w:rPr>
          <w:rStyle w:val="hps"/>
          <w:lang w:val="uk-UA"/>
        </w:rPr>
        <w:t xml:space="preserve"> </w:t>
      </w:r>
      <w:r w:rsidRPr="00DD57A1">
        <w:rPr>
          <w:rStyle w:val="hps"/>
          <w:lang w:val="uk-UA"/>
        </w:rPr>
        <w:t>не визнаються</w:t>
      </w:r>
      <w:r w:rsidRPr="008744AB">
        <w:rPr>
          <w:rStyle w:val="hps"/>
          <w:lang w:val="uk-UA"/>
        </w:rPr>
        <w:t xml:space="preserve"> </w:t>
      </w:r>
      <w:r w:rsidRPr="00DD57A1">
        <w:rPr>
          <w:rStyle w:val="hps"/>
          <w:lang w:val="uk-UA"/>
        </w:rPr>
        <w:t>відносно</w:t>
      </w:r>
      <w:r w:rsidRPr="008744AB">
        <w:rPr>
          <w:rStyle w:val="hps"/>
          <w:lang w:val="uk-UA"/>
        </w:rPr>
        <w:t xml:space="preserve"> </w:t>
      </w:r>
      <w:r w:rsidRPr="00DD57A1">
        <w:rPr>
          <w:rStyle w:val="hps"/>
          <w:lang w:val="uk-UA"/>
        </w:rPr>
        <w:t>тимчасових різниць</w:t>
      </w:r>
      <w:r w:rsidRPr="008744AB">
        <w:rPr>
          <w:rStyle w:val="hps"/>
          <w:lang w:val="uk-UA"/>
        </w:rPr>
        <w:t xml:space="preserve"> </w:t>
      </w:r>
      <w:r w:rsidRPr="00DD57A1">
        <w:rPr>
          <w:rStyle w:val="hps"/>
          <w:lang w:val="uk-UA"/>
        </w:rPr>
        <w:t>при</w:t>
      </w:r>
      <w:r w:rsidRPr="008744AB">
        <w:rPr>
          <w:rStyle w:val="hps"/>
          <w:lang w:val="uk-UA"/>
        </w:rPr>
        <w:t xml:space="preserve"> </w:t>
      </w:r>
      <w:r w:rsidRPr="00DD57A1">
        <w:rPr>
          <w:rStyle w:val="hps"/>
          <w:lang w:val="uk-UA"/>
        </w:rPr>
        <w:t>початковому визнанні</w:t>
      </w:r>
      <w:r w:rsidRPr="008744AB">
        <w:rPr>
          <w:rStyle w:val="hps"/>
          <w:lang w:val="uk-UA"/>
        </w:rPr>
        <w:t xml:space="preserve"> </w:t>
      </w:r>
      <w:r w:rsidRPr="00DD57A1">
        <w:rPr>
          <w:rStyle w:val="hps"/>
          <w:lang w:val="uk-UA"/>
        </w:rPr>
        <w:t>активу або зобов'язання</w:t>
      </w:r>
      <w:r w:rsidRPr="006E4AFC">
        <w:rPr>
          <w:rStyle w:val="hps"/>
          <w:lang w:val="uk-UA"/>
        </w:rPr>
        <w:t xml:space="preserve"> </w:t>
      </w:r>
      <w:r w:rsidRPr="00DD57A1">
        <w:rPr>
          <w:rStyle w:val="hps"/>
          <w:lang w:val="uk-UA"/>
        </w:rPr>
        <w:t>в</w:t>
      </w:r>
      <w:r w:rsidRPr="006E4AFC">
        <w:rPr>
          <w:rStyle w:val="hps"/>
          <w:lang w:val="uk-UA"/>
        </w:rPr>
        <w:t xml:space="preserve"> </w:t>
      </w:r>
      <w:r w:rsidRPr="00DD57A1">
        <w:rPr>
          <w:rStyle w:val="hps"/>
          <w:lang w:val="uk-UA"/>
        </w:rPr>
        <w:t>разі</w:t>
      </w:r>
      <w:r w:rsidRPr="006E4AFC">
        <w:rPr>
          <w:rStyle w:val="hps"/>
          <w:lang w:val="uk-UA"/>
        </w:rPr>
        <w:t xml:space="preserve"> </w:t>
      </w:r>
      <w:r w:rsidRPr="00DD57A1">
        <w:rPr>
          <w:rStyle w:val="hps"/>
          <w:lang w:val="uk-UA"/>
        </w:rPr>
        <w:t>операції</w:t>
      </w:r>
      <w:r w:rsidRPr="006E4AFC">
        <w:rPr>
          <w:rStyle w:val="hps"/>
          <w:lang w:val="uk-UA"/>
        </w:rPr>
        <w:t xml:space="preserve">, що не є </w:t>
      </w:r>
      <w:r w:rsidRPr="00DD57A1">
        <w:rPr>
          <w:rStyle w:val="hps"/>
          <w:lang w:val="uk-UA"/>
        </w:rPr>
        <w:t>об'єднанням</w:t>
      </w:r>
      <w:r w:rsidRPr="006E4AFC">
        <w:rPr>
          <w:rStyle w:val="hps"/>
          <w:lang w:val="uk-UA"/>
        </w:rPr>
        <w:t xml:space="preserve"> </w:t>
      </w:r>
      <w:r w:rsidRPr="00DD57A1">
        <w:rPr>
          <w:rStyle w:val="hps"/>
          <w:lang w:val="uk-UA"/>
        </w:rPr>
        <w:t>компаній</w:t>
      </w:r>
      <w:r w:rsidRPr="006E4AFC">
        <w:rPr>
          <w:rStyle w:val="hps"/>
          <w:lang w:val="uk-UA"/>
        </w:rPr>
        <w:t xml:space="preserve">, </w:t>
      </w:r>
      <w:r w:rsidRPr="00DD57A1">
        <w:rPr>
          <w:rStyle w:val="hps"/>
          <w:lang w:val="uk-UA"/>
        </w:rPr>
        <w:t>коли</w:t>
      </w:r>
      <w:r w:rsidRPr="006E4AFC">
        <w:rPr>
          <w:rStyle w:val="hps"/>
          <w:lang w:val="uk-UA"/>
        </w:rPr>
        <w:t xml:space="preserve"> </w:t>
      </w:r>
      <w:r w:rsidRPr="00DD57A1">
        <w:rPr>
          <w:rStyle w:val="hps"/>
          <w:lang w:val="uk-UA"/>
        </w:rPr>
        <w:t>така операція</w:t>
      </w:r>
      <w:r w:rsidRPr="006E4AFC">
        <w:rPr>
          <w:rStyle w:val="hps"/>
          <w:lang w:val="uk-UA"/>
        </w:rPr>
        <w:t xml:space="preserve"> </w:t>
      </w:r>
      <w:r w:rsidRPr="00DD57A1">
        <w:rPr>
          <w:rStyle w:val="hps"/>
          <w:lang w:val="uk-UA"/>
        </w:rPr>
        <w:t>при</w:t>
      </w:r>
      <w:r w:rsidRPr="006E4AFC">
        <w:rPr>
          <w:rStyle w:val="hps"/>
          <w:lang w:val="uk-UA"/>
        </w:rPr>
        <w:t xml:space="preserve"> </w:t>
      </w:r>
      <w:r w:rsidRPr="00DD57A1">
        <w:rPr>
          <w:rStyle w:val="hps"/>
          <w:lang w:val="uk-UA"/>
        </w:rPr>
        <w:t>її</w:t>
      </w:r>
      <w:r w:rsidRPr="006E4AFC">
        <w:rPr>
          <w:rStyle w:val="hps"/>
          <w:lang w:val="uk-UA"/>
        </w:rPr>
        <w:t xml:space="preserve"> </w:t>
      </w:r>
      <w:r w:rsidRPr="00DD57A1">
        <w:rPr>
          <w:rStyle w:val="hps"/>
          <w:lang w:val="uk-UA"/>
        </w:rPr>
        <w:t>первісному визнанні</w:t>
      </w:r>
      <w:r w:rsidRPr="006E4AFC">
        <w:rPr>
          <w:rStyle w:val="hps"/>
          <w:lang w:val="uk-UA"/>
        </w:rPr>
        <w:t xml:space="preserve"> </w:t>
      </w:r>
      <w:r w:rsidRPr="00DD57A1">
        <w:rPr>
          <w:rStyle w:val="hps"/>
          <w:lang w:val="uk-UA"/>
        </w:rPr>
        <w:t>не впливає</w:t>
      </w:r>
      <w:r w:rsidRPr="006E4AFC">
        <w:rPr>
          <w:rStyle w:val="hps"/>
          <w:lang w:val="uk-UA"/>
        </w:rPr>
        <w:t xml:space="preserve"> </w:t>
      </w:r>
      <w:r w:rsidRPr="00DD57A1">
        <w:rPr>
          <w:rStyle w:val="hps"/>
          <w:lang w:val="uk-UA"/>
        </w:rPr>
        <w:t>ні</w:t>
      </w:r>
      <w:r w:rsidRPr="006E4AFC">
        <w:rPr>
          <w:rStyle w:val="hps"/>
          <w:lang w:val="uk-UA"/>
        </w:rPr>
        <w:t xml:space="preserve"> </w:t>
      </w:r>
      <w:r w:rsidRPr="00DD57A1">
        <w:rPr>
          <w:rStyle w:val="hps"/>
          <w:lang w:val="uk-UA"/>
        </w:rPr>
        <w:t>на</w:t>
      </w:r>
      <w:r w:rsidRPr="006E4AFC">
        <w:rPr>
          <w:rStyle w:val="hps"/>
          <w:lang w:val="uk-UA"/>
        </w:rPr>
        <w:t xml:space="preserve"> </w:t>
      </w:r>
      <w:r w:rsidRPr="00DD57A1">
        <w:rPr>
          <w:rStyle w:val="hps"/>
          <w:lang w:val="uk-UA"/>
        </w:rPr>
        <w:t>фінансовий</w:t>
      </w:r>
      <w:r w:rsidRPr="006E4AFC">
        <w:rPr>
          <w:rStyle w:val="hps"/>
          <w:lang w:val="uk-UA"/>
        </w:rPr>
        <w:t xml:space="preserve">, ні </w:t>
      </w:r>
      <w:r w:rsidRPr="00DD57A1">
        <w:rPr>
          <w:rStyle w:val="hps"/>
          <w:lang w:val="uk-UA"/>
        </w:rPr>
        <w:t>на податковий прибуток</w:t>
      </w:r>
      <w:r w:rsidRPr="006E4AFC">
        <w:rPr>
          <w:rStyle w:val="hps"/>
          <w:lang w:val="uk-UA"/>
        </w:rPr>
        <w:t xml:space="preserve">. </w:t>
      </w:r>
      <w:r w:rsidRPr="00DD57A1">
        <w:rPr>
          <w:rStyle w:val="hps"/>
          <w:lang w:val="uk-UA"/>
        </w:rPr>
        <w:t>Суми відстрочених податків</w:t>
      </w:r>
      <w:r w:rsidRPr="008744AB">
        <w:rPr>
          <w:rStyle w:val="hps"/>
        </w:rPr>
        <w:t xml:space="preserve"> </w:t>
      </w:r>
      <w:r w:rsidRPr="00DD57A1">
        <w:rPr>
          <w:rStyle w:val="hps"/>
          <w:lang w:val="uk-UA"/>
        </w:rPr>
        <w:t>розраховуються за ставками оподаткування</w:t>
      </w:r>
      <w:r w:rsidRPr="00DD57A1">
        <w:rPr>
          <w:rStyle w:val="longtext"/>
          <w:lang w:val="uk-UA"/>
        </w:rPr>
        <w:t xml:space="preserve">, </w:t>
      </w:r>
      <w:r w:rsidRPr="00DD57A1">
        <w:rPr>
          <w:rStyle w:val="hps"/>
          <w:lang w:val="uk-UA"/>
        </w:rPr>
        <w:t>які</w:t>
      </w:r>
      <w:r w:rsidRPr="00DD57A1">
        <w:rPr>
          <w:rStyle w:val="longtext"/>
          <w:lang w:val="uk-UA"/>
        </w:rPr>
        <w:t xml:space="preserve"> </w:t>
      </w:r>
      <w:r w:rsidRPr="00DD57A1">
        <w:rPr>
          <w:rStyle w:val="hps"/>
          <w:lang w:val="uk-UA"/>
        </w:rPr>
        <w:t>введені</w:t>
      </w:r>
      <w:r w:rsidRPr="00DD57A1">
        <w:rPr>
          <w:rStyle w:val="longtext"/>
          <w:lang w:val="uk-UA"/>
        </w:rPr>
        <w:t xml:space="preserve"> </w:t>
      </w:r>
      <w:r w:rsidRPr="00DD57A1">
        <w:rPr>
          <w:rStyle w:val="hps"/>
          <w:lang w:val="uk-UA"/>
        </w:rPr>
        <w:t>в</w:t>
      </w:r>
      <w:r w:rsidRPr="00DD57A1">
        <w:rPr>
          <w:rStyle w:val="longtext"/>
          <w:lang w:val="uk-UA"/>
        </w:rPr>
        <w:t xml:space="preserve"> </w:t>
      </w:r>
      <w:r w:rsidRPr="00DD57A1">
        <w:rPr>
          <w:rStyle w:val="hps"/>
          <w:lang w:val="uk-UA"/>
        </w:rPr>
        <w:t>дію</w:t>
      </w:r>
      <w:r w:rsidRPr="00DD57A1">
        <w:rPr>
          <w:rStyle w:val="longtext"/>
          <w:lang w:val="uk-UA"/>
        </w:rPr>
        <w:t xml:space="preserve"> </w:t>
      </w:r>
      <w:r w:rsidRPr="00DD57A1">
        <w:rPr>
          <w:rStyle w:val="hps"/>
          <w:lang w:val="uk-UA"/>
        </w:rPr>
        <w:t>або</w:t>
      </w:r>
      <w:r w:rsidRPr="00DD57A1">
        <w:rPr>
          <w:rStyle w:val="longtext"/>
          <w:lang w:val="uk-UA"/>
        </w:rPr>
        <w:t xml:space="preserve"> </w:t>
      </w:r>
      <w:r w:rsidRPr="00DD57A1">
        <w:rPr>
          <w:rStyle w:val="hps"/>
          <w:lang w:val="uk-UA"/>
        </w:rPr>
        <w:t>повинні бути введені</w:t>
      </w:r>
      <w:r w:rsidRPr="00DD57A1">
        <w:rPr>
          <w:rStyle w:val="longtext"/>
          <w:lang w:val="uk-UA"/>
        </w:rPr>
        <w:t xml:space="preserve"> </w:t>
      </w:r>
      <w:r w:rsidRPr="00DD57A1">
        <w:rPr>
          <w:rStyle w:val="hps"/>
          <w:lang w:val="uk-UA"/>
        </w:rPr>
        <w:t>в</w:t>
      </w:r>
      <w:r w:rsidRPr="00DD57A1">
        <w:rPr>
          <w:rStyle w:val="longtext"/>
          <w:lang w:val="uk-UA"/>
        </w:rPr>
        <w:t xml:space="preserve"> </w:t>
      </w:r>
      <w:r w:rsidRPr="00DD57A1">
        <w:rPr>
          <w:rStyle w:val="hps"/>
          <w:lang w:val="uk-UA"/>
        </w:rPr>
        <w:t>дію</w:t>
      </w:r>
      <w:r w:rsidRPr="00DD57A1">
        <w:rPr>
          <w:rStyle w:val="longtext"/>
          <w:lang w:val="uk-UA"/>
        </w:rPr>
        <w:t xml:space="preserve"> </w:t>
      </w:r>
      <w:r w:rsidRPr="00DD57A1">
        <w:rPr>
          <w:rStyle w:val="hps"/>
          <w:lang w:val="uk-UA"/>
        </w:rPr>
        <w:t>станом</w:t>
      </w:r>
      <w:r w:rsidRPr="00DD57A1">
        <w:rPr>
          <w:rStyle w:val="longtext"/>
          <w:lang w:val="uk-UA"/>
        </w:rPr>
        <w:t xml:space="preserve"> </w:t>
      </w:r>
      <w:r w:rsidRPr="00DD57A1">
        <w:rPr>
          <w:rStyle w:val="hps"/>
          <w:lang w:val="uk-UA"/>
        </w:rPr>
        <w:t>на</w:t>
      </w:r>
      <w:r w:rsidRPr="00DD57A1">
        <w:rPr>
          <w:rStyle w:val="longtext"/>
          <w:lang w:val="uk-UA"/>
        </w:rPr>
        <w:t xml:space="preserve"> </w:t>
      </w:r>
      <w:r w:rsidRPr="00DD57A1">
        <w:rPr>
          <w:rStyle w:val="hps"/>
          <w:lang w:val="uk-UA"/>
        </w:rPr>
        <w:t>кінець звітного періоду</w:t>
      </w:r>
      <w:r w:rsidRPr="00DD57A1">
        <w:rPr>
          <w:rStyle w:val="longtext"/>
          <w:lang w:val="uk-UA"/>
        </w:rPr>
        <w:t xml:space="preserve"> </w:t>
      </w:r>
      <w:r w:rsidRPr="00DD57A1">
        <w:rPr>
          <w:rStyle w:val="hps"/>
          <w:lang w:val="uk-UA"/>
        </w:rPr>
        <w:t>і</w:t>
      </w:r>
      <w:r w:rsidRPr="00DD57A1">
        <w:rPr>
          <w:rStyle w:val="longtext"/>
          <w:lang w:val="uk-UA"/>
        </w:rPr>
        <w:t xml:space="preserve"> </w:t>
      </w:r>
      <w:r w:rsidRPr="00DD57A1">
        <w:rPr>
          <w:rStyle w:val="hps"/>
          <w:lang w:val="uk-UA"/>
        </w:rPr>
        <w:t>які</w:t>
      </w:r>
      <w:r w:rsidRPr="00DD57A1">
        <w:rPr>
          <w:rStyle w:val="longtext"/>
          <w:lang w:val="uk-UA"/>
        </w:rPr>
        <w:t xml:space="preserve">, </w:t>
      </w:r>
      <w:r w:rsidRPr="00DD57A1">
        <w:rPr>
          <w:rStyle w:val="hps"/>
          <w:lang w:val="uk-UA"/>
        </w:rPr>
        <w:t>як очікується</w:t>
      </w:r>
      <w:r w:rsidRPr="00DD57A1">
        <w:rPr>
          <w:rStyle w:val="longtext"/>
          <w:lang w:val="uk-UA"/>
        </w:rPr>
        <w:t xml:space="preserve">, </w:t>
      </w:r>
      <w:r w:rsidRPr="00DD57A1">
        <w:rPr>
          <w:rStyle w:val="hps"/>
          <w:lang w:val="uk-UA"/>
        </w:rPr>
        <w:t>будуть</w:t>
      </w:r>
      <w:r w:rsidRPr="00DD57A1">
        <w:rPr>
          <w:rStyle w:val="longtext"/>
          <w:lang w:val="uk-UA"/>
        </w:rPr>
        <w:t xml:space="preserve"> </w:t>
      </w:r>
      <w:r w:rsidRPr="00DD57A1">
        <w:rPr>
          <w:rStyle w:val="hps"/>
          <w:lang w:val="uk-UA"/>
        </w:rPr>
        <w:t>застосовуватися</w:t>
      </w:r>
      <w:r w:rsidRPr="00DD57A1">
        <w:rPr>
          <w:rStyle w:val="longtext"/>
          <w:lang w:val="uk-UA"/>
        </w:rPr>
        <w:t xml:space="preserve"> </w:t>
      </w:r>
      <w:r w:rsidRPr="00DD57A1">
        <w:rPr>
          <w:rStyle w:val="hps"/>
          <w:lang w:val="uk-UA"/>
        </w:rPr>
        <w:t>в</w:t>
      </w:r>
      <w:r w:rsidRPr="00DD57A1">
        <w:rPr>
          <w:rStyle w:val="longtext"/>
          <w:lang w:val="uk-UA"/>
        </w:rPr>
        <w:t xml:space="preserve"> </w:t>
      </w:r>
      <w:r w:rsidRPr="00DD57A1">
        <w:rPr>
          <w:rStyle w:val="hps"/>
          <w:lang w:val="uk-UA"/>
        </w:rPr>
        <w:t>періодах</w:t>
      </w:r>
      <w:r w:rsidRPr="00DD57A1">
        <w:rPr>
          <w:rStyle w:val="longtext"/>
          <w:lang w:val="uk-UA"/>
        </w:rPr>
        <w:t xml:space="preserve">, коли буде </w:t>
      </w:r>
      <w:r w:rsidR="00F92A61" w:rsidRPr="00DD57A1">
        <w:rPr>
          <w:rStyle w:val="longtext"/>
          <w:lang w:val="uk-UA"/>
        </w:rPr>
        <w:t>реалізовано</w:t>
      </w:r>
      <w:r w:rsidRPr="00DD57A1">
        <w:rPr>
          <w:rStyle w:val="longtext"/>
          <w:lang w:val="uk-UA"/>
        </w:rPr>
        <w:t xml:space="preserve"> </w:t>
      </w:r>
      <w:r w:rsidRPr="00DD57A1">
        <w:rPr>
          <w:rStyle w:val="hps"/>
          <w:lang w:val="uk-UA"/>
        </w:rPr>
        <w:t>тимчасова різниця</w:t>
      </w:r>
      <w:r w:rsidRPr="00DD57A1">
        <w:rPr>
          <w:rStyle w:val="longtext"/>
          <w:lang w:val="uk-UA"/>
        </w:rPr>
        <w:t xml:space="preserve"> </w:t>
      </w:r>
      <w:r w:rsidRPr="00DD57A1">
        <w:rPr>
          <w:rStyle w:val="hps"/>
          <w:lang w:val="uk-UA"/>
        </w:rPr>
        <w:t>або</w:t>
      </w:r>
      <w:r w:rsidRPr="00DD57A1">
        <w:rPr>
          <w:rStyle w:val="longtext"/>
          <w:lang w:val="uk-UA"/>
        </w:rPr>
        <w:t xml:space="preserve"> </w:t>
      </w:r>
      <w:r w:rsidRPr="00DD57A1">
        <w:rPr>
          <w:rStyle w:val="hps"/>
          <w:lang w:val="uk-UA"/>
        </w:rPr>
        <w:t>використаний</w:t>
      </w:r>
      <w:r w:rsidRPr="00DD57A1">
        <w:rPr>
          <w:rStyle w:val="longtext"/>
          <w:lang w:val="uk-UA"/>
        </w:rPr>
        <w:t xml:space="preserve"> </w:t>
      </w:r>
      <w:r w:rsidRPr="00DD57A1">
        <w:rPr>
          <w:rStyle w:val="hps"/>
          <w:lang w:val="uk-UA"/>
        </w:rPr>
        <w:t>перенесений</w:t>
      </w:r>
      <w:r w:rsidRPr="00DD57A1">
        <w:rPr>
          <w:rStyle w:val="longtext"/>
          <w:lang w:val="uk-UA"/>
        </w:rPr>
        <w:t xml:space="preserve"> </w:t>
      </w:r>
      <w:r w:rsidRPr="00DD57A1">
        <w:rPr>
          <w:rStyle w:val="hps"/>
          <w:lang w:val="uk-UA"/>
        </w:rPr>
        <w:t>податковий збиток</w:t>
      </w:r>
      <w:r w:rsidRPr="00DD57A1">
        <w:rPr>
          <w:rStyle w:val="longtext"/>
          <w:lang w:val="uk-UA"/>
        </w:rPr>
        <w:t xml:space="preserve">. </w:t>
      </w:r>
      <w:r w:rsidRPr="00DD57A1">
        <w:rPr>
          <w:rStyle w:val="hps"/>
          <w:lang w:val="uk-UA"/>
        </w:rPr>
        <w:t>Відстрочені податкові активи</w:t>
      </w:r>
      <w:r w:rsidRPr="00DD57A1">
        <w:rPr>
          <w:rStyle w:val="longtext"/>
          <w:lang w:val="uk-UA"/>
        </w:rPr>
        <w:t xml:space="preserve"> </w:t>
      </w:r>
      <w:r w:rsidRPr="00DD57A1">
        <w:rPr>
          <w:rStyle w:val="hps"/>
          <w:lang w:val="uk-UA"/>
        </w:rPr>
        <w:t>по тимчасових</w:t>
      </w:r>
      <w:r w:rsidRPr="00DD57A1">
        <w:rPr>
          <w:rStyle w:val="longtext"/>
          <w:lang w:val="uk-UA"/>
        </w:rPr>
        <w:t xml:space="preserve"> </w:t>
      </w:r>
      <w:r w:rsidRPr="00DD57A1">
        <w:rPr>
          <w:rStyle w:val="hps"/>
          <w:lang w:val="uk-UA"/>
        </w:rPr>
        <w:t>різницях</w:t>
      </w:r>
      <w:r w:rsidRPr="00DD57A1">
        <w:rPr>
          <w:rStyle w:val="longtext"/>
          <w:lang w:val="uk-UA"/>
        </w:rPr>
        <w:t xml:space="preserve">, </w:t>
      </w:r>
      <w:r w:rsidRPr="00DD57A1">
        <w:rPr>
          <w:rStyle w:val="hps"/>
          <w:lang w:val="uk-UA"/>
        </w:rPr>
        <w:t>що зменшують</w:t>
      </w:r>
      <w:r w:rsidRPr="00DD57A1">
        <w:rPr>
          <w:rStyle w:val="longtext"/>
          <w:lang w:val="uk-UA"/>
        </w:rPr>
        <w:t xml:space="preserve"> </w:t>
      </w:r>
      <w:r w:rsidRPr="00DD57A1">
        <w:rPr>
          <w:rStyle w:val="hps"/>
          <w:lang w:val="uk-UA"/>
        </w:rPr>
        <w:t>оподатковувану базу,</w:t>
      </w:r>
      <w:r w:rsidRPr="00DD57A1">
        <w:rPr>
          <w:rStyle w:val="longtext"/>
          <w:lang w:val="uk-UA"/>
        </w:rPr>
        <w:t xml:space="preserve"> </w:t>
      </w:r>
      <w:r w:rsidRPr="00DD57A1">
        <w:rPr>
          <w:rStyle w:val="hps"/>
          <w:lang w:val="uk-UA"/>
        </w:rPr>
        <w:t>та</w:t>
      </w:r>
      <w:r w:rsidRPr="00DD57A1">
        <w:rPr>
          <w:rStyle w:val="longtext"/>
          <w:lang w:val="uk-UA"/>
        </w:rPr>
        <w:t xml:space="preserve"> </w:t>
      </w:r>
      <w:r w:rsidRPr="00DD57A1">
        <w:rPr>
          <w:rStyle w:val="hps"/>
          <w:lang w:val="uk-UA"/>
        </w:rPr>
        <w:t>перенесені</w:t>
      </w:r>
      <w:r w:rsidRPr="00DD57A1">
        <w:rPr>
          <w:rStyle w:val="longtext"/>
          <w:lang w:val="uk-UA"/>
        </w:rPr>
        <w:t xml:space="preserve"> </w:t>
      </w:r>
      <w:r w:rsidRPr="00DD57A1">
        <w:rPr>
          <w:rStyle w:val="hps"/>
          <w:lang w:val="uk-UA"/>
        </w:rPr>
        <w:t>податкові</w:t>
      </w:r>
      <w:r w:rsidRPr="00DD57A1">
        <w:rPr>
          <w:rStyle w:val="longtext"/>
          <w:lang w:val="uk-UA"/>
        </w:rPr>
        <w:t xml:space="preserve"> </w:t>
      </w:r>
      <w:r w:rsidRPr="00DD57A1">
        <w:rPr>
          <w:rStyle w:val="hps"/>
          <w:lang w:val="uk-UA"/>
        </w:rPr>
        <w:t>збитки визнаються</w:t>
      </w:r>
      <w:r w:rsidRPr="00DD57A1">
        <w:rPr>
          <w:rStyle w:val="longtext"/>
          <w:lang w:val="uk-UA"/>
        </w:rPr>
        <w:t xml:space="preserve"> </w:t>
      </w:r>
      <w:r w:rsidRPr="00DD57A1">
        <w:rPr>
          <w:rStyle w:val="hps"/>
          <w:lang w:val="uk-UA"/>
        </w:rPr>
        <w:t>лише</w:t>
      </w:r>
      <w:r w:rsidRPr="00DD57A1">
        <w:rPr>
          <w:rStyle w:val="longtext"/>
          <w:lang w:val="uk-UA"/>
        </w:rPr>
        <w:t xml:space="preserve"> </w:t>
      </w:r>
      <w:r w:rsidRPr="00DD57A1">
        <w:rPr>
          <w:rStyle w:val="hps"/>
          <w:lang w:val="uk-UA"/>
        </w:rPr>
        <w:t>в</w:t>
      </w:r>
      <w:r w:rsidRPr="00DD57A1">
        <w:rPr>
          <w:rStyle w:val="longtext"/>
          <w:lang w:val="uk-UA"/>
        </w:rPr>
        <w:t xml:space="preserve"> </w:t>
      </w:r>
      <w:r w:rsidRPr="00DD57A1">
        <w:rPr>
          <w:rStyle w:val="hps"/>
          <w:lang w:val="uk-UA"/>
        </w:rPr>
        <w:t>тій</w:t>
      </w:r>
      <w:r w:rsidRPr="00DD57A1">
        <w:rPr>
          <w:rStyle w:val="longtext"/>
          <w:lang w:val="uk-UA"/>
        </w:rPr>
        <w:t xml:space="preserve"> </w:t>
      </w:r>
      <w:r w:rsidRPr="00DD57A1">
        <w:rPr>
          <w:rStyle w:val="hps"/>
          <w:lang w:val="uk-UA"/>
        </w:rPr>
        <w:t>мірі</w:t>
      </w:r>
      <w:r w:rsidRPr="00DD57A1">
        <w:rPr>
          <w:rStyle w:val="longtext"/>
          <w:lang w:val="uk-UA"/>
        </w:rPr>
        <w:t xml:space="preserve">, </w:t>
      </w:r>
      <w:r w:rsidRPr="00DD57A1">
        <w:rPr>
          <w:rStyle w:val="hps"/>
          <w:lang w:val="uk-UA"/>
        </w:rPr>
        <w:t>в</w:t>
      </w:r>
      <w:r w:rsidRPr="00DD57A1">
        <w:rPr>
          <w:rStyle w:val="longtext"/>
          <w:lang w:val="uk-UA"/>
        </w:rPr>
        <w:t xml:space="preserve"> </w:t>
      </w:r>
      <w:r w:rsidRPr="00DD57A1">
        <w:rPr>
          <w:rStyle w:val="hps"/>
          <w:lang w:val="uk-UA"/>
        </w:rPr>
        <w:t>якій</w:t>
      </w:r>
      <w:r w:rsidRPr="00DD57A1">
        <w:rPr>
          <w:rStyle w:val="longtext"/>
          <w:lang w:val="uk-UA"/>
        </w:rPr>
        <w:t xml:space="preserve"> </w:t>
      </w:r>
      <w:r w:rsidRPr="00DD57A1">
        <w:rPr>
          <w:rStyle w:val="hps"/>
          <w:lang w:val="uk-UA"/>
        </w:rPr>
        <w:t>існує імовірність отримання</w:t>
      </w:r>
      <w:r w:rsidRPr="00DD57A1">
        <w:rPr>
          <w:rStyle w:val="longtext"/>
          <w:lang w:val="uk-UA"/>
        </w:rPr>
        <w:t xml:space="preserve"> </w:t>
      </w:r>
      <w:r w:rsidRPr="00DD57A1">
        <w:rPr>
          <w:rStyle w:val="hps"/>
          <w:lang w:val="uk-UA"/>
        </w:rPr>
        <w:t>оподатковуваного прибутку</w:t>
      </w:r>
      <w:r w:rsidRPr="00DD57A1">
        <w:rPr>
          <w:rStyle w:val="longtext"/>
          <w:lang w:val="uk-UA"/>
        </w:rPr>
        <w:t xml:space="preserve">, </w:t>
      </w:r>
      <w:r w:rsidRPr="00DD57A1">
        <w:rPr>
          <w:rStyle w:val="hps"/>
          <w:lang w:val="uk-UA"/>
        </w:rPr>
        <w:t>відносної</w:t>
      </w:r>
      <w:r w:rsidRPr="00DD57A1">
        <w:rPr>
          <w:rStyle w:val="longtext"/>
          <w:lang w:val="uk-UA"/>
        </w:rPr>
        <w:t xml:space="preserve"> </w:t>
      </w:r>
      <w:r w:rsidRPr="00DD57A1">
        <w:rPr>
          <w:rStyle w:val="hps"/>
          <w:lang w:val="uk-UA"/>
        </w:rPr>
        <w:t>якої</w:t>
      </w:r>
      <w:r w:rsidRPr="00DD57A1">
        <w:rPr>
          <w:rStyle w:val="longtext"/>
          <w:lang w:val="uk-UA"/>
        </w:rPr>
        <w:t xml:space="preserve"> </w:t>
      </w:r>
      <w:r w:rsidRPr="00DD57A1">
        <w:rPr>
          <w:rStyle w:val="hps"/>
          <w:lang w:val="uk-UA"/>
        </w:rPr>
        <w:t>можна</w:t>
      </w:r>
      <w:r w:rsidRPr="00DD57A1">
        <w:rPr>
          <w:rStyle w:val="longtext"/>
          <w:lang w:val="uk-UA"/>
        </w:rPr>
        <w:t xml:space="preserve"> </w:t>
      </w:r>
      <w:r w:rsidRPr="00DD57A1">
        <w:rPr>
          <w:rStyle w:val="hps"/>
          <w:lang w:val="uk-UA"/>
        </w:rPr>
        <w:t>буде</w:t>
      </w:r>
      <w:r w:rsidRPr="00DD57A1">
        <w:rPr>
          <w:rStyle w:val="longtext"/>
          <w:lang w:val="uk-UA"/>
        </w:rPr>
        <w:t xml:space="preserve"> </w:t>
      </w:r>
      <w:r w:rsidRPr="00DD57A1">
        <w:rPr>
          <w:rStyle w:val="hps"/>
          <w:lang w:val="uk-UA"/>
        </w:rPr>
        <w:t>реалізувати</w:t>
      </w:r>
      <w:r w:rsidRPr="00DD57A1">
        <w:rPr>
          <w:rStyle w:val="longtext"/>
          <w:lang w:val="uk-UA"/>
        </w:rPr>
        <w:t xml:space="preserve"> </w:t>
      </w:r>
      <w:r w:rsidRPr="00DD57A1">
        <w:rPr>
          <w:rStyle w:val="hps"/>
          <w:lang w:val="uk-UA"/>
        </w:rPr>
        <w:t>тимчасові різниці</w:t>
      </w:r>
      <w:r w:rsidRPr="00DD57A1">
        <w:rPr>
          <w:rStyle w:val="longtext"/>
          <w:lang w:val="uk-UA"/>
        </w:rPr>
        <w:t>.</w:t>
      </w:r>
      <w:r w:rsidRPr="00DD57A1">
        <w:rPr>
          <w:lang w:val="uk-UA"/>
        </w:rPr>
        <w:t xml:space="preserve"> </w:t>
      </w:r>
    </w:p>
    <w:p w:rsidR="00B562E7" w:rsidRPr="00DD57A1" w:rsidRDefault="00B562E7" w:rsidP="00C429BC">
      <w:pPr>
        <w:pStyle w:val="ABC-paragrahinNotes"/>
        <w:spacing w:after="0"/>
        <w:ind w:firstLine="567"/>
        <w:rPr>
          <w:rFonts w:ascii="Times New Roman" w:hAnsi="Times New Roman"/>
          <w:sz w:val="24"/>
          <w:szCs w:val="24"/>
          <w:lang w:val="uk-UA"/>
        </w:rPr>
      </w:pPr>
    </w:p>
    <w:p w:rsidR="0068013B" w:rsidRDefault="0068013B" w:rsidP="00FC7D78">
      <w:pPr>
        <w:pStyle w:val="ABC-paragrahinNotes"/>
        <w:spacing w:after="0"/>
        <w:ind w:firstLine="567"/>
        <w:rPr>
          <w:rFonts w:ascii="Times New Roman" w:hAnsi="Times New Roman"/>
          <w:b/>
          <w:sz w:val="24"/>
          <w:szCs w:val="24"/>
          <w:lang w:val="uk-UA"/>
        </w:rPr>
      </w:pPr>
      <w:r>
        <w:rPr>
          <w:rFonts w:ascii="Times New Roman" w:hAnsi="Times New Roman"/>
          <w:b/>
          <w:sz w:val="24"/>
          <w:szCs w:val="24"/>
          <w:lang w:val="uk-UA"/>
        </w:rPr>
        <w:t>3.</w:t>
      </w:r>
      <w:r w:rsidR="009C5FE1">
        <w:rPr>
          <w:rFonts w:ascii="Times New Roman" w:hAnsi="Times New Roman"/>
          <w:b/>
          <w:sz w:val="24"/>
          <w:szCs w:val="24"/>
          <w:lang w:val="uk-UA"/>
        </w:rPr>
        <w:t>6</w:t>
      </w:r>
      <w:r>
        <w:rPr>
          <w:rFonts w:ascii="Times New Roman" w:hAnsi="Times New Roman"/>
          <w:b/>
          <w:sz w:val="24"/>
          <w:szCs w:val="24"/>
          <w:lang w:val="uk-UA"/>
        </w:rPr>
        <w:t xml:space="preserve">. Інші активи та </w:t>
      </w:r>
      <w:r w:rsidR="00A2485D">
        <w:rPr>
          <w:rFonts w:ascii="Times New Roman" w:hAnsi="Times New Roman"/>
          <w:b/>
          <w:sz w:val="24"/>
          <w:szCs w:val="24"/>
          <w:lang w:val="uk-UA"/>
        </w:rPr>
        <w:t>зобов’язання</w:t>
      </w:r>
    </w:p>
    <w:p w:rsidR="00A2485D" w:rsidRDefault="0068013B" w:rsidP="00C429BC">
      <w:pPr>
        <w:pStyle w:val="ABC-paragrahinNotes"/>
        <w:spacing w:after="0"/>
        <w:ind w:firstLine="567"/>
        <w:rPr>
          <w:rFonts w:ascii="Times New Roman" w:hAnsi="Times New Roman"/>
          <w:b/>
          <w:sz w:val="24"/>
          <w:szCs w:val="24"/>
          <w:lang w:val="uk-UA"/>
        </w:rPr>
      </w:pPr>
      <w:r>
        <w:rPr>
          <w:rFonts w:ascii="Times New Roman" w:hAnsi="Times New Roman"/>
          <w:b/>
          <w:sz w:val="24"/>
          <w:szCs w:val="24"/>
          <w:lang w:val="uk-UA"/>
        </w:rPr>
        <w:t xml:space="preserve"> </w:t>
      </w:r>
    </w:p>
    <w:p w:rsidR="005E61E5" w:rsidRPr="00DD57A1" w:rsidRDefault="0068013B" w:rsidP="00C429BC">
      <w:pPr>
        <w:pStyle w:val="ABC-paragrahinNotes"/>
        <w:spacing w:after="0"/>
        <w:ind w:firstLine="567"/>
        <w:rPr>
          <w:rFonts w:ascii="Times New Roman" w:hAnsi="Times New Roman"/>
          <w:b/>
          <w:sz w:val="24"/>
          <w:szCs w:val="24"/>
          <w:lang w:val="uk-UA"/>
        </w:rPr>
      </w:pPr>
      <w:r>
        <w:rPr>
          <w:rFonts w:ascii="Times New Roman" w:hAnsi="Times New Roman"/>
          <w:b/>
          <w:sz w:val="24"/>
          <w:szCs w:val="24"/>
          <w:lang w:val="uk-UA"/>
        </w:rPr>
        <w:t>3.</w:t>
      </w:r>
      <w:r w:rsidR="009C5FE1">
        <w:rPr>
          <w:rFonts w:ascii="Times New Roman" w:hAnsi="Times New Roman"/>
          <w:b/>
          <w:sz w:val="24"/>
          <w:szCs w:val="24"/>
          <w:lang w:val="uk-UA"/>
        </w:rPr>
        <w:t>6</w:t>
      </w:r>
      <w:r>
        <w:rPr>
          <w:rFonts w:ascii="Times New Roman" w:hAnsi="Times New Roman"/>
          <w:b/>
          <w:sz w:val="24"/>
          <w:szCs w:val="24"/>
          <w:lang w:val="uk-UA"/>
        </w:rPr>
        <w:t xml:space="preserve">.1. </w:t>
      </w:r>
      <w:r w:rsidR="005E61E5" w:rsidRPr="00DD57A1">
        <w:rPr>
          <w:rFonts w:ascii="Times New Roman" w:hAnsi="Times New Roman"/>
          <w:b/>
          <w:sz w:val="24"/>
          <w:szCs w:val="24"/>
          <w:lang w:val="uk-UA"/>
        </w:rPr>
        <w:t>Формування резервів</w:t>
      </w:r>
    </w:p>
    <w:p w:rsidR="003A07BD" w:rsidRDefault="003A07BD" w:rsidP="003A07BD">
      <w:pPr>
        <w:ind w:firstLine="567"/>
        <w:jc w:val="both"/>
        <w:rPr>
          <w:lang w:val="uk-UA"/>
        </w:rPr>
      </w:pPr>
      <w:r w:rsidRPr="00DD57A1">
        <w:rPr>
          <w:lang w:val="uk-UA"/>
        </w:rPr>
        <w:t xml:space="preserve">У відповідності з діючими законодавчими і нормативними актами, які регулюють діяльність ломбардів, а також МСФЗ, </w:t>
      </w:r>
      <w:r>
        <w:rPr>
          <w:lang w:val="uk-UA"/>
        </w:rPr>
        <w:t>Товариство</w:t>
      </w:r>
      <w:r w:rsidRPr="00DD57A1">
        <w:rPr>
          <w:lang w:val="uk-UA"/>
        </w:rPr>
        <w:t xml:space="preserve"> зобов’язан</w:t>
      </w:r>
      <w:r>
        <w:rPr>
          <w:lang w:val="uk-UA"/>
        </w:rPr>
        <w:t>о</w:t>
      </w:r>
      <w:r w:rsidRPr="00DD57A1">
        <w:rPr>
          <w:lang w:val="uk-UA"/>
        </w:rPr>
        <w:t xml:space="preserve"> створювати </w:t>
      </w:r>
      <w:r w:rsidR="00793083">
        <w:rPr>
          <w:lang w:val="uk-UA"/>
        </w:rPr>
        <w:t>страховий резерв (</w:t>
      </w:r>
      <w:r w:rsidR="00D84897">
        <w:rPr>
          <w:lang w:val="uk-UA"/>
        </w:rPr>
        <w:t xml:space="preserve">резерв </w:t>
      </w:r>
      <w:r w:rsidRPr="0075685E">
        <w:rPr>
          <w:rStyle w:val="hps"/>
          <w:lang w:val="uk-UA" w:eastAsia="uk-UA"/>
        </w:rPr>
        <w:t xml:space="preserve"> не</w:t>
      </w:r>
      <w:r>
        <w:rPr>
          <w:rStyle w:val="hps"/>
          <w:lang w:val="uk-UA" w:eastAsia="uk-UA"/>
        </w:rPr>
        <w:t>банківських фінансових установ</w:t>
      </w:r>
      <w:r w:rsidR="00793083">
        <w:rPr>
          <w:rStyle w:val="hps"/>
          <w:lang w:val="uk-UA" w:eastAsia="uk-UA"/>
        </w:rPr>
        <w:t>).</w:t>
      </w:r>
    </w:p>
    <w:p w:rsidR="0075685E" w:rsidRPr="0075685E" w:rsidRDefault="0075685E" w:rsidP="00290D4B">
      <w:pPr>
        <w:ind w:firstLine="567"/>
        <w:jc w:val="both"/>
        <w:rPr>
          <w:rStyle w:val="hps"/>
          <w:lang w:val="uk-UA" w:eastAsia="uk-UA"/>
        </w:rPr>
      </w:pPr>
      <w:r w:rsidRPr="0075685E">
        <w:rPr>
          <w:rStyle w:val="hps"/>
          <w:lang w:val="uk-UA" w:eastAsia="uk-UA"/>
        </w:rPr>
        <w:t>Товариство також створює резерв витрат на оплату щорічних відпусток, які формуються щомісячно виходячи  із кількості днів невикористаного працівниками пiдприємства щорічної відпустки і середньоденної oплати праці працівників. Середньоденна оплата пpаці визначається відповідно до законодавства.</w:t>
      </w:r>
    </w:p>
    <w:p w:rsidR="00664D56" w:rsidRDefault="00664D56" w:rsidP="0075685E">
      <w:pPr>
        <w:spacing w:line="240" w:lineRule="atLeast"/>
        <w:ind w:firstLine="567"/>
        <w:jc w:val="both"/>
        <w:rPr>
          <w:lang w:val="uk-UA"/>
        </w:rPr>
      </w:pPr>
    </w:p>
    <w:p w:rsidR="005E61E5" w:rsidRPr="00DD57A1" w:rsidRDefault="009C5FE1" w:rsidP="00C429BC">
      <w:pPr>
        <w:widowControl w:val="0"/>
        <w:tabs>
          <w:tab w:val="left" w:pos="370"/>
        </w:tabs>
        <w:ind w:right="20" w:firstLine="567"/>
        <w:jc w:val="both"/>
        <w:rPr>
          <w:b/>
          <w:lang w:val="uk-UA"/>
        </w:rPr>
      </w:pPr>
      <w:r>
        <w:rPr>
          <w:b/>
          <w:lang w:val="uk-UA"/>
        </w:rPr>
        <w:t>3.6</w:t>
      </w:r>
      <w:r w:rsidR="0068013B">
        <w:rPr>
          <w:b/>
          <w:lang w:val="uk-UA"/>
        </w:rPr>
        <w:t xml:space="preserve">.2. </w:t>
      </w:r>
      <w:r w:rsidR="005E61E5" w:rsidRPr="00DD57A1">
        <w:rPr>
          <w:b/>
          <w:lang w:val="uk-UA"/>
        </w:rPr>
        <w:t>Дивіденди</w:t>
      </w:r>
    </w:p>
    <w:p w:rsidR="005E61E5" w:rsidRDefault="005E61E5" w:rsidP="00EA7DC6">
      <w:pPr>
        <w:ind w:firstLine="567"/>
        <w:jc w:val="both"/>
        <w:rPr>
          <w:lang w:val="uk-UA"/>
        </w:rPr>
      </w:pPr>
      <w:r w:rsidRPr="00DD57A1">
        <w:rPr>
          <w:lang w:val="uk-UA"/>
        </w:rPr>
        <w:t xml:space="preserve">Дивіденди, визначені керівництвом </w:t>
      </w:r>
      <w:r w:rsidR="003A07BD">
        <w:rPr>
          <w:lang w:val="uk-UA"/>
        </w:rPr>
        <w:t>Товариства</w:t>
      </w:r>
      <w:r w:rsidRPr="00DD57A1">
        <w:rPr>
          <w:lang w:val="uk-UA"/>
        </w:rPr>
        <w:t>, не вираховуються з величини нерозподіленого прибутку до моменту їх затвердження Загальними зборами учасників.</w:t>
      </w:r>
    </w:p>
    <w:p w:rsidR="00B562E7" w:rsidRPr="00DD57A1" w:rsidRDefault="00B562E7" w:rsidP="00C429BC">
      <w:pPr>
        <w:ind w:firstLine="567"/>
        <w:jc w:val="both"/>
        <w:rPr>
          <w:lang w:val="uk-UA"/>
        </w:rPr>
      </w:pPr>
    </w:p>
    <w:p w:rsidR="005E61E5" w:rsidRPr="00DD57A1" w:rsidRDefault="0068013B" w:rsidP="00C429BC">
      <w:pPr>
        <w:ind w:firstLine="567"/>
        <w:jc w:val="both"/>
        <w:rPr>
          <w:b/>
          <w:lang w:val="uk-UA"/>
        </w:rPr>
      </w:pPr>
      <w:r>
        <w:rPr>
          <w:b/>
          <w:lang w:val="uk-UA"/>
        </w:rPr>
        <w:t>3.</w:t>
      </w:r>
      <w:r w:rsidR="009C5FE1">
        <w:rPr>
          <w:b/>
          <w:lang w:val="uk-UA"/>
        </w:rPr>
        <w:t>6</w:t>
      </w:r>
      <w:r>
        <w:rPr>
          <w:b/>
          <w:lang w:val="uk-UA"/>
        </w:rPr>
        <w:t xml:space="preserve">.3. </w:t>
      </w:r>
      <w:r w:rsidR="005E61E5" w:rsidRPr="00DD57A1">
        <w:rPr>
          <w:b/>
          <w:lang w:val="uk-UA"/>
        </w:rPr>
        <w:t>Визнання доходів і витрат</w:t>
      </w:r>
    </w:p>
    <w:p w:rsidR="005E61E5" w:rsidRPr="006E4AFC" w:rsidRDefault="005E61E5" w:rsidP="00EA7DC6">
      <w:pPr>
        <w:pStyle w:val="ABC-paragrahinNotes"/>
        <w:spacing w:after="0"/>
        <w:ind w:firstLine="567"/>
        <w:rPr>
          <w:rStyle w:val="hps"/>
          <w:lang w:val="ru-RU"/>
        </w:rPr>
      </w:pPr>
      <w:r w:rsidRPr="00DD57A1">
        <w:rPr>
          <w:rStyle w:val="hps"/>
          <w:rFonts w:ascii="Times New Roman" w:hAnsi="Times New Roman"/>
          <w:sz w:val="24"/>
          <w:szCs w:val="24"/>
          <w:lang w:val="uk-UA"/>
        </w:rPr>
        <w:t>Процентні доходи та витрати</w:t>
      </w:r>
      <w:r w:rsidRPr="00DD57A1">
        <w:rPr>
          <w:rStyle w:val="longtext"/>
          <w:rFonts w:ascii="Times New Roman" w:hAnsi="Times New Roman"/>
          <w:sz w:val="24"/>
          <w:szCs w:val="24"/>
          <w:lang w:val="uk-UA"/>
        </w:rPr>
        <w:t xml:space="preserve"> </w:t>
      </w:r>
      <w:r w:rsidRPr="00DD57A1">
        <w:rPr>
          <w:rStyle w:val="hps"/>
          <w:rFonts w:ascii="Times New Roman" w:hAnsi="Times New Roman"/>
          <w:sz w:val="24"/>
          <w:szCs w:val="24"/>
          <w:lang w:val="uk-UA"/>
        </w:rPr>
        <w:t>враховуються</w:t>
      </w:r>
      <w:r w:rsidRPr="00DD57A1">
        <w:rPr>
          <w:rStyle w:val="longtext"/>
          <w:rFonts w:ascii="Times New Roman" w:hAnsi="Times New Roman"/>
          <w:sz w:val="24"/>
          <w:szCs w:val="24"/>
          <w:lang w:val="uk-UA"/>
        </w:rPr>
        <w:t xml:space="preserve"> </w:t>
      </w:r>
      <w:r w:rsidRPr="00DD57A1">
        <w:rPr>
          <w:rStyle w:val="hps"/>
          <w:rFonts w:ascii="Times New Roman" w:hAnsi="Times New Roman"/>
          <w:sz w:val="24"/>
          <w:szCs w:val="24"/>
          <w:lang w:val="uk-UA"/>
        </w:rPr>
        <w:t>для</w:t>
      </w:r>
      <w:r w:rsidRPr="00DD57A1">
        <w:rPr>
          <w:rStyle w:val="longtext"/>
          <w:rFonts w:ascii="Times New Roman" w:hAnsi="Times New Roman"/>
          <w:sz w:val="24"/>
          <w:szCs w:val="24"/>
          <w:lang w:val="uk-UA"/>
        </w:rPr>
        <w:t xml:space="preserve"> </w:t>
      </w:r>
      <w:r w:rsidRPr="00DD57A1">
        <w:rPr>
          <w:rStyle w:val="hps"/>
          <w:rFonts w:ascii="Times New Roman" w:hAnsi="Times New Roman"/>
          <w:sz w:val="24"/>
          <w:szCs w:val="24"/>
          <w:lang w:val="uk-UA"/>
        </w:rPr>
        <w:t>всіх</w:t>
      </w:r>
      <w:r w:rsidRPr="00DD57A1">
        <w:rPr>
          <w:rStyle w:val="longtext"/>
          <w:rFonts w:ascii="Times New Roman" w:hAnsi="Times New Roman"/>
          <w:sz w:val="24"/>
          <w:szCs w:val="24"/>
          <w:lang w:val="uk-UA"/>
        </w:rPr>
        <w:t xml:space="preserve"> </w:t>
      </w:r>
      <w:r w:rsidRPr="00DD57A1">
        <w:rPr>
          <w:rStyle w:val="hps"/>
          <w:rFonts w:ascii="Times New Roman" w:hAnsi="Times New Roman"/>
          <w:sz w:val="24"/>
          <w:szCs w:val="24"/>
          <w:lang w:val="uk-UA"/>
        </w:rPr>
        <w:t>боргових інструментів</w:t>
      </w:r>
      <w:r w:rsidRPr="00DD57A1">
        <w:rPr>
          <w:rStyle w:val="longtext"/>
          <w:rFonts w:ascii="Times New Roman" w:hAnsi="Times New Roman"/>
          <w:sz w:val="24"/>
          <w:szCs w:val="24"/>
          <w:lang w:val="uk-UA"/>
        </w:rPr>
        <w:t xml:space="preserve"> </w:t>
      </w:r>
      <w:r w:rsidRPr="00DD57A1">
        <w:rPr>
          <w:rStyle w:val="hps"/>
          <w:rFonts w:ascii="Times New Roman" w:hAnsi="Times New Roman"/>
          <w:sz w:val="24"/>
          <w:szCs w:val="24"/>
          <w:lang w:val="uk-UA"/>
        </w:rPr>
        <w:t>за принципом нарахування</w:t>
      </w:r>
      <w:r w:rsidRPr="00DD57A1">
        <w:rPr>
          <w:rStyle w:val="longtext"/>
          <w:rFonts w:ascii="Times New Roman" w:hAnsi="Times New Roman"/>
          <w:sz w:val="24"/>
          <w:szCs w:val="24"/>
          <w:lang w:val="uk-UA"/>
        </w:rPr>
        <w:t xml:space="preserve"> </w:t>
      </w:r>
      <w:r w:rsidRPr="00DD57A1">
        <w:rPr>
          <w:rStyle w:val="hps"/>
          <w:rFonts w:ascii="Times New Roman" w:hAnsi="Times New Roman"/>
          <w:sz w:val="24"/>
          <w:szCs w:val="24"/>
          <w:lang w:val="uk-UA"/>
        </w:rPr>
        <w:t>із застосуванням</w:t>
      </w:r>
      <w:r w:rsidRPr="00DD57A1">
        <w:rPr>
          <w:rStyle w:val="longtext"/>
          <w:rFonts w:ascii="Times New Roman" w:hAnsi="Times New Roman"/>
          <w:sz w:val="24"/>
          <w:szCs w:val="24"/>
          <w:lang w:val="uk-UA"/>
        </w:rPr>
        <w:t xml:space="preserve"> </w:t>
      </w:r>
      <w:r w:rsidRPr="00DD57A1">
        <w:rPr>
          <w:rStyle w:val="hps"/>
          <w:rFonts w:ascii="Times New Roman" w:hAnsi="Times New Roman"/>
          <w:sz w:val="24"/>
          <w:szCs w:val="24"/>
          <w:lang w:val="uk-UA"/>
        </w:rPr>
        <w:t>методу ефективної ставки відсотка</w:t>
      </w:r>
      <w:r w:rsidRPr="00DD57A1">
        <w:rPr>
          <w:rStyle w:val="longtext"/>
          <w:rFonts w:ascii="Times New Roman" w:hAnsi="Times New Roman"/>
          <w:sz w:val="24"/>
          <w:szCs w:val="24"/>
          <w:lang w:val="uk-UA"/>
        </w:rPr>
        <w:t xml:space="preserve">. </w:t>
      </w:r>
      <w:r w:rsidRPr="00DD57A1">
        <w:rPr>
          <w:rStyle w:val="hps"/>
          <w:rFonts w:ascii="Times New Roman" w:hAnsi="Times New Roman"/>
          <w:sz w:val="24"/>
          <w:szCs w:val="24"/>
          <w:lang w:val="uk-UA"/>
        </w:rPr>
        <w:t>Цей</w:t>
      </w:r>
      <w:r w:rsidRPr="00DD57A1">
        <w:rPr>
          <w:rStyle w:val="longtext"/>
          <w:rFonts w:ascii="Times New Roman" w:hAnsi="Times New Roman"/>
          <w:sz w:val="24"/>
          <w:szCs w:val="24"/>
          <w:lang w:val="uk-UA"/>
        </w:rPr>
        <w:t xml:space="preserve"> </w:t>
      </w:r>
      <w:r w:rsidRPr="00DD57A1">
        <w:rPr>
          <w:rStyle w:val="hps"/>
          <w:rFonts w:ascii="Times New Roman" w:hAnsi="Times New Roman"/>
          <w:sz w:val="24"/>
          <w:szCs w:val="24"/>
          <w:lang w:val="uk-UA"/>
        </w:rPr>
        <w:t>метод</w:t>
      </w:r>
      <w:r w:rsidRPr="00DD57A1">
        <w:rPr>
          <w:rStyle w:val="longtext"/>
          <w:rFonts w:ascii="Times New Roman" w:hAnsi="Times New Roman"/>
          <w:sz w:val="24"/>
          <w:szCs w:val="24"/>
          <w:lang w:val="uk-UA"/>
        </w:rPr>
        <w:t xml:space="preserve"> </w:t>
      </w:r>
      <w:r w:rsidRPr="00DD57A1">
        <w:rPr>
          <w:rStyle w:val="hps"/>
          <w:rFonts w:ascii="Times New Roman" w:hAnsi="Times New Roman"/>
          <w:sz w:val="24"/>
          <w:szCs w:val="24"/>
          <w:lang w:val="uk-UA"/>
        </w:rPr>
        <w:t>включає</w:t>
      </w:r>
      <w:r w:rsidRPr="00DD57A1">
        <w:rPr>
          <w:rStyle w:val="longtext"/>
          <w:rFonts w:ascii="Times New Roman" w:hAnsi="Times New Roman"/>
          <w:sz w:val="24"/>
          <w:szCs w:val="24"/>
          <w:lang w:val="uk-UA"/>
        </w:rPr>
        <w:t xml:space="preserve"> </w:t>
      </w:r>
      <w:r w:rsidRPr="00DD57A1">
        <w:rPr>
          <w:rStyle w:val="hps"/>
          <w:rFonts w:ascii="Times New Roman" w:hAnsi="Times New Roman"/>
          <w:sz w:val="24"/>
          <w:szCs w:val="24"/>
          <w:lang w:val="uk-UA"/>
        </w:rPr>
        <w:t>до складу</w:t>
      </w:r>
      <w:r w:rsidRPr="00DD57A1">
        <w:rPr>
          <w:rStyle w:val="longtext"/>
          <w:rFonts w:ascii="Times New Roman" w:hAnsi="Times New Roman"/>
          <w:sz w:val="24"/>
          <w:szCs w:val="24"/>
          <w:lang w:val="uk-UA"/>
        </w:rPr>
        <w:t xml:space="preserve"> </w:t>
      </w:r>
      <w:r w:rsidRPr="00DD57A1">
        <w:rPr>
          <w:rStyle w:val="hps"/>
          <w:rFonts w:ascii="Times New Roman" w:hAnsi="Times New Roman"/>
          <w:sz w:val="24"/>
          <w:szCs w:val="24"/>
          <w:lang w:val="uk-UA"/>
        </w:rPr>
        <w:t>процентних</w:t>
      </w:r>
      <w:r w:rsidRPr="00DD57A1">
        <w:rPr>
          <w:rStyle w:val="longtext"/>
          <w:rFonts w:ascii="Times New Roman" w:hAnsi="Times New Roman"/>
          <w:sz w:val="24"/>
          <w:szCs w:val="24"/>
          <w:lang w:val="uk-UA"/>
        </w:rPr>
        <w:t xml:space="preserve"> </w:t>
      </w:r>
      <w:r w:rsidRPr="00DD57A1">
        <w:rPr>
          <w:rStyle w:val="hps"/>
          <w:rFonts w:ascii="Times New Roman" w:hAnsi="Times New Roman"/>
          <w:sz w:val="24"/>
          <w:szCs w:val="24"/>
          <w:lang w:val="uk-UA"/>
        </w:rPr>
        <w:t>доходів і витрат</w:t>
      </w:r>
      <w:r w:rsidRPr="00DD57A1">
        <w:rPr>
          <w:rStyle w:val="longtext"/>
          <w:rFonts w:ascii="Times New Roman" w:hAnsi="Times New Roman"/>
          <w:sz w:val="24"/>
          <w:szCs w:val="24"/>
          <w:lang w:val="uk-UA"/>
        </w:rPr>
        <w:t xml:space="preserve"> </w:t>
      </w:r>
      <w:r w:rsidRPr="00DD57A1">
        <w:rPr>
          <w:rStyle w:val="hps"/>
          <w:rFonts w:ascii="Times New Roman" w:hAnsi="Times New Roman"/>
          <w:sz w:val="24"/>
          <w:szCs w:val="24"/>
          <w:lang w:val="uk-UA"/>
        </w:rPr>
        <w:t>та</w:t>
      </w:r>
      <w:r w:rsidRPr="00DD57A1">
        <w:rPr>
          <w:rStyle w:val="longtext"/>
          <w:rFonts w:ascii="Times New Roman" w:hAnsi="Times New Roman"/>
          <w:sz w:val="24"/>
          <w:szCs w:val="24"/>
          <w:lang w:val="uk-UA"/>
        </w:rPr>
        <w:t xml:space="preserve"> </w:t>
      </w:r>
      <w:r w:rsidRPr="00DD57A1">
        <w:rPr>
          <w:rStyle w:val="hps"/>
          <w:rFonts w:ascii="Times New Roman" w:hAnsi="Times New Roman"/>
          <w:sz w:val="24"/>
          <w:szCs w:val="24"/>
          <w:lang w:val="uk-UA"/>
        </w:rPr>
        <w:t>розносить</w:t>
      </w:r>
      <w:r w:rsidRPr="00DD57A1">
        <w:rPr>
          <w:rStyle w:val="longtext"/>
          <w:rFonts w:ascii="Times New Roman" w:hAnsi="Times New Roman"/>
          <w:sz w:val="24"/>
          <w:szCs w:val="24"/>
          <w:lang w:val="uk-UA"/>
        </w:rPr>
        <w:t xml:space="preserve"> </w:t>
      </w:r>
      <w:r w:rsidRPr="00DD57A1">
        <w:rPr>
          <w:rStyle w:val="hps"/>
          <w:rFonts w:ascii="Times New Roman" w:hAnsi="Times New Roman"/>
          <w:sz w:val="24"/>
          <w:szCs w:val="24"/>
          <w:lang w:val="uk-UA"/>
        </w:rPr>
        <w:t>на</w:t>
      </w:r>
      <w:r w:rsidRPr="00DD57A1">
        <w:rPr>
          <w:rStyle w:val="longtext"/>
          <w:rFonts w:ascii="Times New Roman" w:hAnsi="Times New Roman"/>
          <w:sz w:val="24"/>
          <w:szCs w:val="24"/>
          <w:lang w:val="uk-UA"/>
        </w:rPr>
        <w:t xml:space="preserve"> </w:t>
      </w:r>
      <w:r w:rsidRPr="00DD57A1">
        <w:rPr>
          <w:rStyle w:val="hps"/>
          <w:rFonts w:ascii="Times New Roman" w:hAnsi="Times New Roman"/>
          <w:sz w:val="24"/>
          <w:szCs w:val="24"/>
          <w:lang w:val="uk-UA"/>
        </w:rPr>
        <w:t>весь</w:t>
      </w:r>
      <w:r w:rsidRPr="00DD57A1">
        <w:rPr>
          <w:rStyle w:val="longtext"/>
          <w:rFonts w:ascii="Times New Roman" w:hAnsi="Times New Roman"/>
          <w:sz w:val="24"/>
          <w:szCs w:val="24"/>
          <w:lang w:val="uk-UA"/>
        </w:rPr>
        <w:t xml:space="preserve"> </w:t>
      </w:r>
      <w:r w:rsidRPr="00DD57A1">
        <w:rPr>
          <w:rStyle w:val="hps"/>
          <w:rFonts w:ascii="Times New Roman" w:hAnsi="Times New Roman"/>
          <w:sz w:val="24"/>
          <w:szCs w:val="24"/>
          <w:lang w:val="uk-UA"/>
        </w:rPr>
        <w:t>період</w:t>
      </w:r>
      <w:r w:rsidRPr="00DD57A1">
        <w:rPr>
          <w:rStyle w:val="longtext"/>
          <w:rFonts w:ascii="Times New Roman" w:hAnsi="Times New Roman"/>
          <w:sz w:val="24"/>
          <w:szCs w:val="24"/>
          <w:lang w:val="uk-UA"/>
        </w:rPr>
        <w:t xml:space="preserve"> </w:t>
      </w:r>
      <w:r w:rsidRPr="00DD57A1">
        <w:rPr>
          <w:rStyle w:val="hps"/>
          <w:rFonts w:ascii="Times New Roman" w:hAnsi="Times New Roman"/>
          <w:sz w:val="24"/>
          <w:szCs w:val="24"/>
          <w:lang w:val="uk-UA"/>
        </w:rPr>
        <w:t>дії</w:t>
      </w:r>
      <w:r w:rsidRPr="00DD57A1">
        <w:rPr>
          <w:rStyle w:val="longtext"/>
          <w:rFonts w:ascii="Times New Roman" w:hAnsi="Times New Roman"/>
          <w:sz w:val="24"/>
          <w:szCs w:val="24"/>
          <w:lang w:val="uk-UA"/>
        </w:rPr>
        <w:t xml:space="preserve"> </w:t>
      </w:r>
      <w:r w:rsidRPr="00DD57A1">
        <w:rPr>
          <w:rStyle w:val="hps"/>
          <w:rFonts w:ascii="Times New Roman" w:hAnsi="Times New Roman"/>
          <w:sz w:val="24"/>
          <w:szCs w:val="24"/>
          <w:lang w:val="uk-UA"/>
        </w:rPr>
        <w:t>усі комісії</w:t>
      </w:r>
      <w:r w:rsidRPr="00DD57A1">
        <w:rPr>
          <w:rStyle w:val="longtext"/>
          <w:rFonts w:ascii="Times New Roman" w:hAnsi="Times New Roman"/>
          <w:sz w:val="24"/>
          <w:szCs w:val="24"/>
          <w:lang w:val="uk-UA"/>
        </w:rPr>
        <w:t xml:space="preserve">, які сплачуються </w:t>
      </w:r>
      <w:r w:rsidRPr="00DD57A1">
        <w:rPr>
          <w:rStyle w:val="hps"/>
          <w:rFonts w:ascii="Times New Roman" w:hAnsi="Times New Roman"/>
          <w:sz w:val="24"/>
          <w:szCs w:val="24"/>
          <w:lang w:val="uk-UA"/>
        </w:rPr>
        <w:t>або</w:t>
      </w:r>
      <w:r w:rsidRPr="00DD57A1">
        <w:rPr>
          <w:rStyle w:val="longtext"/>
          <w:rFonts w:ascii="Times New Roman" w:hAnsi="Times New Roman"/>
          <w:sz w:val="24"/>
          <w:szCs w:val="24"/>
          <w:lang w:val="uk-UA"/>
        </w:rPr>
        <w:t xml:space="preserve"> </w:t>
      </w:r>
      <w:r w:rsidRPr="00DD57A1">
        <w:rPr>
          <w:rStyle w:val="hps"/>
          <w:rFonts w:ascii="Times New Roman" w:hAnsi="Times New Roman"/>
          <w:sz w:val="24"/>
          <w:szCs w:val="24"/>
          <w:lang w:val="uk-UA"/>
        </w:rPr>
        <w:t>одержуються</w:t>
      </w:r>
      <w:r w:rsidRPr="00DD57A1">
        <w:rPr>
          <w:rStyle w:val="longtext"/>
          <w:rFonts w:ascii="Times New Roman" w:hAnsi="Times New Roman"/>
          <w:sz w:val="24"/>
          <w:szCs w:val="24"/>
          <w:lang w:val="uk-UA"/>
        </w:rPr>
        <w:t xml:space="preserve"> </w:t>
      </w:r>
      <w:r w:rsidRPr="00DD57A1">
        <w:rPr>
          <w:rStyle w:val="hps"/>
          <w:rFonts w:ascii="Times New Roman" w:hAnsi="Times New Roman"/>
          <w:sz w:val="24"/>
          <w:szCs w:val="24"/>
          <w:lang w:val="uk-UA"/>
        </w:rPr>
        <w:t>учасниками</w:t>
      </w:r>
      <w:r w:rsidRPr="00DD57A1">
        <w:rPr>
          <w:rStyle w:val="longtext"/>
          <w:rFonts w:ascii="Times New Roman" w:hAnsi="Times New Roman"/>
          <w:sz w:val="24"/>
          <w:szCs w:val="24"/>
          <w:lang w:val="uk-UA"/>
        </w:rPr>
        <w:t xml:space="preserve"> </w:t>
      </w:r>
      <w:r w:rsidRPr="00DD57A1">
        <w:rPr>
          <w:rStyle w:val="hps"/>
          <w:rFonts w:ascii="Times New Roman" w:hAnsi="Times New Roman"/>
          <w:sz w:val="24"/>
          <w:szCs w:val="24"/>
          <w:lang w:val="uk-UA"/>
        </w:rPr>
        <w:t>контракту</w:t>
      </w:r>
      <w:r w:rsidRPr="00DD57A1">
        <w:rPr>
          <w:rStyle w:val="longtext"/>
          <w:rFonts w:ascii="Times New Roman" w:hAnsi="Times New Roman"/>
          <w:sz w:val="24"/>
          <w:szCs w:val="24"/>
          <w:lang w:val="uk-UA"/>
        </w:rPr>
        <w:t xml:space="preserve">, </w:t>
      </w:r>
      <w:r w:rsidRPr="00DD57A1">
        <w:rPr>
          <w:rStyle w:val="hps"/>
          <w:rFonts w:ascii="Times New Roman" w:hAnsi="Times New Roman"/>
          <w:sz w:val="24"/>
          <w:szCs w:val="24"/>
          <w:lang w:val="uk-UA"/>
        </w:rPr>
        <w:t>які є невід'ємною частиною</w:t>
      </w:r>
      <w:r w:rsidRPr="00DD57A1">
        <w:rPr>
          <w:rStyle w:val="longtext"/>
          <w:rFonts w:ascii="Times New Roman" w:hAnsi="Times New Roman"/>
          <w:sz w:val="24"/>
          <w:szCs w:val="24"/>
          <w:lang w:val="uk-UA"/>
        </w:rPr>
        <w:t xml:space="preserve"> </w:t>
      </w:r>
      <w:r w:rsidRPr="00DD57A1">
        <w:rPr>
          <w:rStyle w:val="hps"/>
          <w:rFonts w:ascii="Times New Roman" w:hAnsi="Times New Roman"/>
          <w:sz w:val="24"/>
          <w:szCs w:val="24"/>
          <w:lang w:val="uk-UA"/>
        </w:rPr>
        <w:t>ефективної ставки відсотка</w:t>
      </w:r>
      <w:r w:rsidRPr="00DD57A1">
        <w:rPr>
          <w:rStyle w:val="longtext"/>
          <w:rFonts w:ascii="Times New Roman" w:hAnsi="Times New Roman"/>
          <w:sz w:val="24"/>
          <w:szCs w:val="24"/>
          <w:lang w:val="uk-UA"/>
        </w:rPr>
        <w:t xml:space="preserve">, </w:t>
      </w:r>
      <w:r w:rsidRPr="00DD57A1">
        <w:rPr>
          <w:rStyle w:val="hps"/>
          <w:rFonts w:ascii="Times New Roman" w:hAnsi="Times New Roman"/>
          <w:sz w:val="24"/>
          <w:szCs w:val="24"/>
          <w:lang w:val="uk-UA"/>
        </w:rPr>
        <w:t>витрати на проведення</w:t>
      </w:r>
      <w:r w:rsidRPr="006E4AFC">
        <w:rPr>
          <w:rStyle w:val="hps"/>
          <w:lang w:val="ru-RU"/>
        </w:rPr>
        <w:t xml:space="preserve"> </w:t>
      </w:r>
      <w:r w:rsidRPr="00DD57A1">
        <w:rPr>
          <w:rStyle w:val="hps"/>
          <w:rFonts w:ascii="Times New Roman" w:hAnsi="Times New Roman"/>
          <w:sz w:val="24"/>
          <w:szCs w:val="24"/>
          <w:lang w:val="uk-UA"/>
        </w:rPr>
        <w:t>операції</w:t>
      </w:r>
      <w:r w:rsidRPr="006E4AFC">
        <w:rPr>
          <w:rStyle w:val="hps"/>
          <w:lang w:val="ru-RU"/>
        </w:rPr>
        <w:t xml:space="preserve">, </w:t>
      </w:r>
      <w:r w:rsidRPr="00DD57A1">
        <w:rPr>
          <w:rStyle w:val="hps"/>
          <w:rFonts w:ascii="Times New Roman" w:hAnsi="Times New Roman"/>
          <w:sz w:val="24"/>
          <w:szCs w:val="24"/>
          <w:lang w:val="uk-UA"/>
        </w:rPr>
        <w:t>а</w:t>
      </w:r>
      <w:r w:rsidRPr="006E4AFC">
        <w:rPr>
          <w:rStyle w:val="hps"/>
          <w:lang w:val="ru-RU"/>
        </w:rPr>
        <w:t xml:space="preserve"> </w:t>
      </w:r>
      <w:r w:rsidRPr="00DD57A1">
        <w:rPr>
          <w:rStyle w:val="hps"/>
          <w:rFonts w:ascii="Times New Roman" w:hAnsi="Times New Roman"/>
          <w:sz w:val="24"/>
          <w:szCs w:val="24"/>
          <w:lang w:val="uk-UA"/>
        </w:rPr>
        <w:t>також усі інші</w:t>
      </w:r>
      <w:r w:rsidRPr="006E4AFC">
        <w:rPr>
          <w:rStyle w:val="hps"/>
          <w:lang w:val="ru-RU"/>
        </w:rPr>
        <w:t xml:space="preserve"> </w:t>
      </w:r>
      <w:r w:rsidRPr="00DD57A1">
        <w:rPr>
          <w:rStyle w:val="hps"/>
          <w:rFonts w:ascii="Times New Roman" w:hAnsi="Times New Roman"/>
          <w:sz w:val="24"/>
          <w:szCs w:val="24"/>
          <w:lang w:val="uk-UA"/>
        </w:rPr>
        <w:t>премії</w:t>
      </w:r>
      <w:r w:rsidRPr="006E4AFC">
        <w:rPr>
          <w:rStyle w:val="hps"/>
          <w:lang w:val="ru-RU"/>
        </w:rPr>
        <w:t xml:space="preserve"> </w:t>
      </w:r>
      <w:r w:rsidRPr="00DD57A1">
        <w:rPr>
          <w:rStyle w:val="hps"/>
          <w:rFonts w:ascii="Times New Roman" w:hAnsi="Times New Roman"/>
          <w:sz w:val="24"/>
          <w:szCs w:val="24"/>
          <w:lang w:val="uk-UA"/>
        </w:rPr>
        <w:t>та</w:t>
      </w:r>
      <w:r w:rsidRPr="006E4AFC">
        <w:rPr>
          <w:rStyle w:val="hps"/>
          <w:lang w:val="ru-RU"/>
        </w:rPr>
        <w:t xml:space="preserve"> </w:t>
      </w:r>
      <w:r w:rsidRPr="00DD57A1">
        <w:rPr>
          <w:rStyle w:val="hps"/>
          <w:rFonts w:ascii="Times New Roman" w:hAnsi="Times New Roman"/>
          <w:sz w:val="24"/>
          <w:szCs w:val="24"/>
          <w:lang w:val="uk-UA"/>
        </w:rPr>
        <w:t>дисконти</w:t>
      </w:r>
      <w:r w:rsidRPr="006E4AFC">
        <w:rPr>
          <w:rStyle w:val="hps"/>
          <w:lang w:val="ru-RU"/>
        </w:rPr>
        <w:t>.</w:t>
      </w:r>
    </w:p>
    <w:p w:rsidR="002970DA" w:rsidRPr="00AC23E6" w:rsidRDefault="006946E0" w:rsidP="00EA7DC6">
      <w:pPr>
        <w:pStyle w:val="ABC-paragrahinNotes"/>
        <w:spacing w:after="0"/>
        <w:ind w:firstLine="567"/>
        <w:rPr>
          <w:rStyle w:val="hps"/>
          <w:rFonts w:ascii="Times New Roman" w:hAnsi="Times New Roman"/>
          <w:sz w:val="24"/>
          <w:szCs w:val="24"/>
          <w:lang w:val="uk-UA"/>
        </w:rPr>
      </w:pPr>
      <w:r w:rsidRPr="00AC23E6">
        <w:rPr>
          <w:rStyle w:val="hps"/>
          <w:rFonts w:ascii="Times New Roman" w:hAnsi="Times New Roman"/>
          <w:sz w:val="24"/>
          <w:szCs w:val="24"/>
          <w:lang w:val="uk-UA"/>
        </w:rPr>
        <w:t xml:space="preserve">До складу доходів, що пов’язані з основним видом діяльності, належать нараховані </w:t>
      </w:r>
      <w:r w:rsidR="00AC23E6" w:rsidRPr="00AC23E6">
        <w:rPr>
          <w:rStyle w:val="hps"/>
          <w:rFonts w:ascii="Times New Roman" w:hAnsi="Times New Roman"/>
          <w:sz w:val="24"/>
          <w:szCs w:val="24"/>
          <w:lang w:val="uk-UA"/>
        </w:rPr>
        <w:t>відсотки та пеня від надання фінансового кредиту, комісійна винагорода від реалізації невикуплених предметів закладу.</w:t>
      </w:r>
    </w:p>
    <w:p w:rsidR="006946E0" w:rsidRPr="00AC23E6" w:rsidRDefault="006946E0" w:rsidP="00EA7DC6">
      <w:pPr>
        <w:pStyle w:val="ABC-paragrahinNotes"/>
        <w:spacing w:after="0"/>
        <w:ind w:firstLine="567"/>
        <w:rPr>
          <w:rStyle w:val="hps"/>
          <w:rFonts w:ascii="Times New Roman" w:hAnsi="Times New Roman"/>
          <w:sz w:val="24"/>
          <w:szCs w:val="24"/>
          <w:lang w:val="uk-UA"/>
        </w:rPr>
      </w:pPr>
      <w:r w:rsidRPr="006946E0">
        <w:rPr>
          <w:rStyle w:val="hps"/>
          <w:rFonts w:ascii="Times New Roman" w:hAnsi="Times New Roman"/>
          <w:sz w:val="24"/>
          <w:szCs w:val="24"/>
          <w:lang w:val="uk-UA"/>
        </w:rPr>
        <w:t>Витрати визнаються у звіті про прибутки і збитки Товариства, коли виникає зниження майбутніх економічних вигід, які пов'язані із зменшенням активів, амортизації чи збільшенням зобов'язань, які можуть бути надійно оцінені, і результатом чого є зменшення чистих активів, за винятком зменшення, пов’язаного з виплатами учасників.</w:t>
      </w:r>
    </w:p>
    <w:p w:rsidR="006946E0" w:rsidRPr="006946E0" w:rsidRDefault="006946E0" w:rsidP="00EA7DC6">
      <w:pPr>
        <w:pStyle w:val="ABC-paragrahinNotes"/>
        <w:spacing w:after="0"/>
        <w:ind w:firstLine="567"/>
        <w:rPr>
          <w:rStyle w:val="hps"/>
          <w:rFonts w:ascii="Times New Roman" w:hAnsi="Times New Roman"/>
          <w:sz w:val="24"/>
          <w:szCs w:val="24"/>
          <w:lang w:val="uk-UA"/>
        </w:rPr>
      </w:pPr>
      <w:r w:rsidRPr="006946E0">
        <w:rPr>
          <w:rStyle w:val="hps"/>
          <w:rFonts w:ascii="Times New Roman" w:hAnsi="Times New Roman"/>
          <w:sz w:val="24"/>
          <w:szCs w:val="24"/>
          <w:lang w:val="uk-UA"/>
        </w:rPr>
        <w:t>Витрати визнаються у звіті про прибутки та збитки на основі прямого зв'язку між понесеними витратами і доходами конкретних статей доходу за умови відповідності визначенню та одночасно з визнанням збільшення зобов’язань або зменшення активів.</w:t>
      </w:r>
    </w:p>
    <w:p w:rsidR="006946E0" w:rsidRPr="006946E0" w:rsidRDefault="006946E0" w:rsidP="00EA7DC6">
      <w:pPr>
        <w:pStyle w:val="ABC-paragrahinNotes"/>
        <w:spacing w:after="0"/>
        <w:ind w:firstLine="567"/>
        <w:rPr>
          <w:rStyle w:val="hps"/>
          <w:rFonts w:ascii="Times New Roman" w:hAnsi="Times New Roman"/>
          <w:sz w:val="24"/>
          <w:szCs w:val="24"/>
          <w:lang w:val="uk-UA"/>
        </w:rPr>
      </w:pPr>
      <w:r w:rsidRPr="006946E0">
        <w:rPr>
          <w:rStyle w:val="hps"/>
          <w:rFonts w:ascii="Times New Roman" w:hAnsi="Times New Roman"/>
          <w:sz w:val="24"/>
          <w:szCs w:val="24"/>
          <w:lang w:val="uk-UA"/>
        </w:rPr>
        <w:t>Витрати, пов'язані з використанням активів, наприклад, знос і амортизація, визнаються в звітних періодах, в яких були отримані економічні вигоди, пов'язані з цими об'єктами.</w:t>
      </w:r>
    </w:p>
    <w:p w:rsidR="00655DAD" w:rsidRDefault="00655DAD" w:rsidP="00C429BC">
      <w:pPr>
        <w:ind w:firstLine="567"/>
        <w:jc w:val="both"/>
        <w:rPr>
          <w:b/>
          <w:lang w:val="uk-UA"/>
        </w:rPr>
      </w:pPr>
    </w:p>
    <w:p w:rsidR="005E61E5" w:rsidRPr="00DD57A1" w:rsidRDefault="0068013B" w:rsidP="00C429BC">
      <w:pPr>
        <w:ind w:firstLine="567"/>
        <w:jc w:val="both"/>
        <w:rPr>
          <w:b/>
          <w:lang w:val="uk-UA"/>
        </w:rPr>
      </w:pPr>
      <w:r>
        <w:rPr>
          <w:b/>
          <w:lang w:val="uk-UA"/>
        </w:rPr>
        <w:t>3.</w:t>
      </w:r>
      <w:r w:rsidR="007F0DF0">
        <w:rPr>
          <w:b/>
          <w:lang w:val="uk-UA"/>
        </w:rPr>
        <w:t>6</w:t>
      </w:r>
      <w:r>
        <w:rPr>
          <w:b/>
          <w:lang w:val="uk-UA"/>
        </w:rPr>
        <w:t xml:space="preserve">.4. </w:t>
      </w:r>
      <w:r w:rsidR="005E61E5" w:rsidRPr="00DD57A1">
        <w:rPr>
          <w:b/>
          <w:lang w:val="uk-UA"/>
        </w:rPr>
        <w:t>Взаємозаліки</w:t>
      </w:r>
    </w:p>
    <w:p w:rsidR="005E61E5" w:rsidRDefault="005E61E5" w:rsidP="00EA7DC6">
      <w:pPr>
        <w:pStyle w:val="ABC-BulletsinNotes"/>
        <w:tabs>
          <w:tab w:val="clear" w:pos="851"/>
        </w:tabs>
        <w:spacing w:after="0"/>
        <w:ind w:left="0" w:firstLine="567"/>
        <w:rPr>
          <w:rFonts w:ascii="Times New Roman" w:hAnsi="Times New Roman"/>
          <w:sz w:val="24"/>
          <w:szCs w:val="24"/>
          <w:lang w:val="uk-UA"/>
        </w:rPr>
      </w:pPr>
      <w:r w:rsidRPr="00DD57A1">
        <w:rPr>
          <w:rFonts w:ascii="Times New Roman" w:hAnsi="Times New Roman"/>
          <w:sz w:val="24"/>
          <w:szCs w:val="24"/>
          <w:lang w:val="uk-UA"/>
        </w:rPr>
        <w:t>Взаємозалік фінансових активів та зобов'язань з подальшим включенням до балансу лише їхньої чистої суми може здійснюватися лише в разі, якщо є юридично встановлене право взаємозаліку визнаних сум, і існує намір провести розрахунок на основі чистої суми або одночасно реалізувати актив та розрахуватися за зобов'язаннями.</w:t>
      </w:r>
    </w:p>
    <w:p w:rsidR="00B562E7" w:rsidRPr="00DD57A1" w:rsidRDefault="00B562E7" w:rsidP="00C429BC">
      <w:pPr>
        <w:pStyle w:val="ABC-BulletsinNotes"/>
        <w:tabs>
          <w:tab w:val="clear" w:pos="851"/>
        </w:tabs>
        <w:spacing w:after="0"/>
        <w:ind w:left="0" w:firstLine="567"/>
        <w:rPr>
          <w:rFonts w:ascii="Times New Roman" w:hAnsi="Times New Roman"/>
          <w:sz w:val="24"/>
          <w:szCs w:val="24"/>
          <w:lang w:val="uk-UA"/>
        </w:rPr>
      </w:pPr>
    </w:p>
    <w:p w:rsidR="005E61E5" w:rsidRPr="00DD57A1" w:rsidRDefault="0068013B" w:rsidP="00C429BC">
      <w:pPr>
        <w:ind w:firstLine="567"/>
        <w:jc w:val="both"/>
        <w:rPr>
          <w:b/>
          <w:lang w:val="uk-UA"/>
        </w:rPr>
      </w:pPr>
      <w:r>
        <w:rPr>
          <w:b/>
          <w:lang w:val="uk-UA"/>
        </w:rPr>
        <w:t>3.</w:t>
      </w:r>
      <w:r w:rsidR="007F0DF0">
        <w:rPr>
          <w:b/>
          <w:lang w:val="uk-UA"/>
        </w:rPr>
        <w:t>6</w:t>
      </w:r>
      <w:r>
        <w:rPr>
          <w:b/>
          <w:lang w:val="uk-UA"/>
        </w:rPr>
        <w:t xml:space="preserve">.5. </w:t>
      </w:r>
      <w:r w:rsidR="005E61E5" w:rsidRPr="00DD57A1">
        <w:rPr>
          <w:b/>
          <w:lang w:val="uk-UA"/>
        </w:rPr>
        <w:t>Витрати на персонал та відповідні відрахування</w:t>
      </w:r>
    </w:p>
    <w:p w:rsidR="00C96EDE" w:rsidRPr="00C96EDE" w:rsidRDefault="00C96EDE" w:rsidP="00C96EDE">
      <w:pPr>
        <w:pStyle w:val="ABC-paragrahinNotes"/>
        <w:spacing w:after="0"/>
        <w:ind w:firstLine="567"/>
        <w:rPr>
          <w:rStyle w:val="hps"/>
          <w:rFonts w:ascii="Times New Roman" w:hAnsi="Times New Roman"/>
          <w:sz w:val="24"/>
          <w:szCs w:val="24"/>
          <w:lang w:val="uk-UA"/>
        </w:rPr>
      </w:pPr>
      <w:r w:rsidRPr="00C96EDE">
        <w:rPr>
          <w:rStyle w:val="hps"/>
          <w:rFonts w:ascii="Times New Roman" w:hAnsi="Times New Roman"/>
          <w:sz w:val="24"/>
          <w:szCs w:val="24"/>
          <w:lang w:val="uk-UA"/>
        </w:rPr>
        <w:t xml:space="preserve">Винагороди працівникам Товариства враховуються як поточні так і довгострокові, в </w:t>
      </w:r>
      <w:r w:rsidRPr="00C96EDE">
        <w:rPr>
          <w:lang w:val="uk-UA"/>
        </w:rPr>
        <w:t>залежності від</w:t>
      </w:r>
      <w:r w:rsidRPr="00C96EDE">
        <w:rPr>
          <w:rStyle w:val="hps"/>
          <w:rFonts w:ascii="Times New Roman" w:hAnsi="Times New Roman"/>
          <w:sz w:val="24"/>
          <w:szCs w:val="24"/>
          <w:lang w:val="uk-UA"/>
        </w:rPr>
        <w:t xml:space="preserve"> виду виплат відповідно до МСБО 19 «Виплати працівникам».</w:t>
      </w:r>
    </w:p>
    <w:p w:rsidR="005E61E5" w:rsidRPr="00DD57A1" w:rsidRDefault="005E61E5" w:rsidP="00C429BC">
      <w:pPr>
        <w:pStyle w:val="ABC-paragrahinNotes"/>
        <w:spacing w:after="0"/>
        <w:ind w:firstLine="567"/>
        <w:rPr>
          <w:rFonts w:ascii="Times New Roman" w:hAnsi="Times New Roman"/>
          <w:sz w:val="24"/>
          <w:szCs w:val="24"/>
          <w:lang w:val="uk-UA"/>
        </w:rPr>
      </w:pPr>
      <w:r w:rsidRPr="00C96EDE">
        <w:rPr>
          <w:rFonts w:ascii="Times New Roman" w:hAnsi="Times New Roman"/>
          <w:sz w:val="24"/>
          <w:szCs w:val="24"/>
          <w:lang w:val="uk-UA"/>
        </w:rPr>
        <w:t>Зарплата, внески на соціальне забезпечення, щорічні відпускні та лікарняні, преміальні і не грошові пільги нараховуються у тому році, в якому відповідні</w:t>
      </w:r>
      <w:r w:rsidRPr="00DD57A1">
        <w:rPr>
          <w:rFonts w:ascii="Times New Roman" w:hAnsi="Times New Roman"/>
          <w:sz w:val="24"/>
          <w:szCs w:val="24"/>
          <w:lang w:val="uk-UA"/>
        </w:rPr>
        <w:t xml:space="preserve"> послуги надаються </w:t>
      </w:r>
      <w:r w:rsidRPr="000110DD">
        <w:rPr>
          <w:rStyle w:val="hps"/>
          <w:rFonts w:ascii="Times New Roman" w:hAnsi="Times New Roman"/>
          <w:sz w:val="24"/>
          <w:szCs w:val="24"/>
          <w:lang w:val="uk-UA"/>
        </w:rPr>
        <w:t xml:space="preserve">працівникам </w:t>
      </w:r>
      <w:r w:rsidR="003754BE" w:rsidRPr="00C96EDE">
        <w:rPr>
          <w:rStyle w:val="hps"/>
          <w:rFonts w:ascii="Times New Roman" w:hAnsi="Times New Roman"/>
          <w:sz w:val="24"/>
          <w:szCs w:val="24"/>
          <w:lang w:val="uk-UA"/>
        </w:rPr>
        <w:t>Компанії</w:t>
      </w:r>
      <w:r w:rsidRPr="00C96EDE">
        <w:rPr>
          <w:lang w:val="uk-UA"/>
        </w:rPr>
        <w:t>.</w:t>
      </w:r>
      <w:r w:rsidRPr="00C96EDE">
        <w:rPr>
          <w:rFonts w:ascii="Times New Roman" w:hAnsi="Times New Roman"/>
          <w:sz w:val="24"/>
          <w:szCs w:val="24"/>
          <w:lang w:val="uk-UA"/>
        </w:rPr>
        <w:t xml:space="preserve"> </w:t>
      </w:r>
      <w:r w:rsidR="003754BE" w:rsidRPr="003754BE">
        <w:rPr>
          <w:rFonts w:ascii="Times New Roman" w:hAnsi="Times New Roman"/>
          <w:sz w:val="24"/>
          <w:szCs w:val="24"/>
          <w:lang w:val="uk-UA"/>
        </w:rPr>
        <w:t>Компанія</w:t>
      </w:r>
      <w:r w:rsidRPr="00DD57A1">
        <w:rPr>
          <w:rFonts w:ascii="Times New Roman" w:hAnsi="Times New Roman"/>
          <w:sz w:val="24"/>
          <w:szCs w:val="24"/>
          <w:lang w:val="uk-UA"/>
        </w:rPr>
        <w:t xml:space="preserve"> не має жодних правових чи таких, що випливають зі сформованої ділової практики, зобов'язань з виплати пенсій або аналогічних виплат, крім платежів згідно з державним планом із встановленими внесками.</w:t>
      </w:r>
    </w:p>
    <w:p w:rsidR="00CE4D0C" w:rsidRPr="00DD57A1" w:rsidRDefault="00CE4D0C" w:rsidP="00C429BC">
      <w:pPr>
        <w:ind w:firstLine="540"/>
        <w:jc w:val="both"/>
        <w:rPr>
          <w:b/>
          <w:bCs/>
          <w:lang w:val="uk-UA"/>
        </w:rPr>
      </w:pPr>
    </w:p>
    <w:p w:rsidR="00CE4D0C" w:rsidRDefault="00CE4D0C" w:rsidP="00C429BC">
      <w:pPr>
        <w:ind w:firstLine="540"/>
        <w:jc w:val="both"/>
        <w:rPr>
          <w:b/>
          <w:bCs/>
          <w:lang w:val="uk-UA"/>
        </w:rPr>
      </w:pPr>
      <w:r w:rsidRPr="00DD57A1">
        <w:rPr>
          <w:b/>
          <w:bCs/>
          <w:lang w:val="uk-UA"/>
        </w:rPr>
        <w:t>4. Істотні судження  та основні джерела невизначеності в процесі застосування облікової політики.</w:t>
      </w:r>
    </w:p>
    <w:p w:rsidR="00CE4D0C" w:rsidRPr="00DD57A1" w:rsidRDefault="00CE4D0C" w:rsidP="00EA7DC6">
      <w:pPr>
        <w:shd w:val="clear" w:color="auto" w:fill="FFFFFF"/>
        <w:autoSpaceDE w:val="0"/>
        <w:ind w:firstLine="539"/>
        <w:jc w:val="both"/>
        <w:rPr>
          <w:rFonts w:eastAsia="Franklin Gothic Medium Cond"/>
          <w:color w:val="000000"/>
          <w:lang w:val="uk-UA"/>
        </w:rPr>
      </w:pPr>
      <w:r w:rsidRPr="00DD57A1">
        <w:rPr>
          <w:color w:val="000000"/>
          <w:lang w:val="uk-UA"/>
        </w:rPr>
        <w:t>Керівництво використовує ряд оцінок, суджень та припущень по відношенню представлення активів і зобов'язань і розкриття умовних активів і зобов'язань при підготовці фінансової звітності у відповідності з вимогами МСФЗ. Фактичні результати можуть відрізнятися від вказаних оцінок. Припущення і зроблені на їх основі розрахункові оцінки постійно аналізуються на предмет необхідності їх зміни.</w:t>
      </w:r>
    </w:p>
    <w:p w:rsidR="00CE4D0C" w:rsidRPr="00DD57A1" w:rsidRDefault="00CE4D0C" w:rsidP="00EA7DC6">
      <w:pPr>
        <w:pStyle w:val="Default"/>
        <w:shd w:val="clear" w:color="auto" w:fill="FFFFFF"/>
        <w:ind w:firstLine="539"/>
        <w:jc w:val="both"/>
        <w:rPr>
          <w:lang w:val="uk-UA"/>
        </w:rPr>
      </w:pPr>
      <w:r w:rsidRPr="00DD57A1">
        <w:rPr>
          <w:lang w:val="uk-UA"/>
        </w:rPr>
        <w:t xml:space="preserve">Зміни в оцінках відображаються в тому періоді, в якому оцінка була переглянута, якщо зміна впливає лише на цей період, або в тому періоді, до якого відноситься зміна, і в майбутніх періодах, якщо зміна впливає як на поточні, так і на майбутні періоди. </w:t>
      </w:r>
    </w:p>
    <w:p w:rsidR="00CE4D0C" w:rsidRPr="00DD57A1" w:rsidRDefault="00CE4D0C" w:rsidP="00EA7DC6">
      <w:pPr>
        <w:pStyle w:val="NormalLeft063cm"/>
        <w:ind w:left="0" w:right="0" w:firstLine="539"/>
        <w:jc w:val="both"/>
        <w:rPr>
          <w:sz w:val="24"/>
          <w:szCs w:val="24"/>
          <w:lang w:val="uk-UA"/>
        </w:rPr>
      </w:pPr>
      <w:r w:rsidRPr="00DD57A1">
        <w:rPr>
          <w:sz w:val="24"/>
          <w:szCs w:val="24"/>
          <w:lang w:val="uk-UA"/>
        </w:rPr>
        <w:t xml:space="preserve">У процесі </w:t>
      </w:r>
      <w:r w:rsidR="00936A45">
        <w:rPr>
          <w:sz w:val="24"/>
          <w:szCs w:val="24"/>
          <w:lang w:val="uk-UA"/>
        </w:rPr>
        <w:t>застосування облікової політики Товариства</w:t>
      </w:r>
      <w:r w:rsidRPr="00DD57A1">
        <w:rPr>
          <w:sz w:val="24"/>
          <w:szCs w:val="24"/>
          <w:lang w:val="uk-UA"/>
        </w:rPr>
        <w:t xml:space="preserve"> керівництво зробило певні професійні судження, окрім тих, які вимагають використання оцінок, які мають найбільш істотний вплив на суми, визнані в  фінансовій звітності. Ці судження, серед іншого, включають правомірність застосування припущення щодо здатності вести свою діяльність на безперервній основі.</w:t>
      </w:r>
    </w:p>
    <w:p w:rsidR="00CE4D0C" w:rsidRPr="00DD57A1" w:rsidRDefault="00CE4D0C" w:rsidP="00EA7DC6">
      <w:pPr>
        <w:autoSpaceDE w:val="0"/>
        <w:ind w:firstLine="539"/>
        <w:jc w:val="both"/>
        <w:rPr>
          <w:lang w:val="uk-UA"/>
        </w:rPr>
      </w:pPr>
      <w:r w:rsidRPr="00DD57A1">
        <w:rPr>
          <w:lang w:val="uk-UA"/>
        </w:rPr>
        <w:t>Основні джерела невизначеності оцінок.</w:t>
      </w:r>
      <w:r w:rsidRPr="00DD57A1">
        <w:rPr>
          <w:b/>
          <w:i/>
          <w:lang w:val="uk-UA"/>
        </w:rPr>
        <w:t xml:space="preserve"> </w:t>
      </w:r>
    </w:p>
    <w:p w:rsidR="00CE4D0C" w:rsidRPr="00DD57A1" w:rsidRDefault="00CE4D0C" w:rsidP="00EA7DC6">
      <w:pPr>
        <w:autoSpaceDE w:val="0"/>
        <w:ind w:firstLine="539"/>
        <w:jc w:val="both"/>
        <w:rPr>
          <w:i/>
          <w:lang w:val="uk-UA"/>
        </w:rPr>
      </w:pPr>
      <w:r w:rsidRPr="00DD57A1">
        <w:rPr>
          <w:lang w:val="uk-UA"/>
        </w:rPr>
        <w:t>Нижче наведені ключові припущення щодо майбутнього, а також основні джерела невизначеності оцінок на кінець звітного періоду, які мають істотний ризик стати причиною внесення суттєвих коригувань до балансової вартості активів та зобов'язань протягом наступного фінансового року:</w:t>
      </w:r>
    </w:p>
    <w:p w:rsidR="00CE4D0C" w:rsidRPr="00DD57A1" w:rsidRDefault="00CE4D0C" w:rsidP="00EA7DC6">
      <w:pPr>
        <w:pStyle w:val="210"/>
        <w:tabs>
          <w:tab w:val="left" w:pos="851"/>
        </w:tabs>
        <w:ind w:firstLine="539"/>
        <w:rPr>
          <w:i/>
          <w:szCs w:val="24"/>
          <w:lang w:val="uk-UA"/>
        </w:rPr>
      </w:pPr>
      <w:r w:rsidRPr="00DD57A1">
        <w:rPr>
          <w:i/>
          <w:szCs w:val="24"/>
          <w:lang w:val="uk-UA"/>
        </w:rPr>
        <w:t xml:space="preserve">Строки корисного використання основних засобів. </w:t>
      </w:r>
      <w:r w:rsidRPr="00DD57A1">
        <w:rPr>
          <w:szCs w:val="24"/>
          <w:lang w:val="uk-UA"/>
        </w:rPr>
        <w:t>Оцінка строків корисного використання об'єктів основних засобів залежить від професійного судження керівництва, яке засноване на досвіді роботи з аналогічними активами. При визначенні строків корисного використання активів керівництво бере до уваги умови очікуваного використання активів, моральний знос, фізичний знос і умови праці, в яких будуть експлуатуватися дані активи. Зміна будь-якого з цих умов або оцінок може в результаті привести до коригування майбутніх норм амортизації.</w:t>
      </w:r>
    </w:p>
    <w:p w:rsidR="00CE4D0C" w:rsidRPr="00DD57A1" w:rsidRDefault="00CE4D0C" w:rsidP="00EA7DC6">
      <w:pPr>
        <w:tabs>
          <w:tab w:val="left" w:pos="851"/>
        </w:tabs>
        <w:autoSpaceDE w:val="0"/>
        <w:ind w:firstLine="539"/>
        <w:jc w:val="both"/>
        <w:rPr>
          <w:lang w:val="uk-UA"/>
        </w:rPr>
      </w:pPr>
      <w:r w:rsidRPr="00DD57A1">
        <w:rPr>
          <w:i/>
          <w:lang w:val="uk-UA"/>
        </w:rPr>
        <w:t xml:space="preserve">Відстрочені податкові активи. </w:t>
      </w:r>
      <w:r w:rsidRPr="00DD57A1">
        <w:rPr>
          <w:lang w:val="uk-UA"/>
        </w:rPr>
        <w:t>Діючий Податковий кодекс України та зміни що вносяться до нього суттєво змінюють податкові закони і ставки оподаткування. Суми і терміни сторнування тимчасових різниць залежать від прийняття істотних суджень керівництва Товариства на підставі оцінки майбутньої облікової та податкової вартості основних засобів.</w:t>
      </w:r>
    </w:p>
    <w:p w:rsidR="00CE4D0C" w:rsidRPr="00DD57A1" w:rsidRDefault="00CE4D0C" w:rsidP="00EA7DC6">
      <w:pPr>
        <w:autoSpaceDE w:val="0"/>
        <w:ind w:firstLine="539"/>
        <w:jc w:val="both"/>
        <w:rPr>
          <w:lang w:val="uk-UA"/>
        </w:rPr>
      </w:pPr>
      <w:r w:rsidRPr="00DD57A1">
        <w:rPr>
          <w:lang w:val="uk-UA"/>
        </w:rPr>
        <w:t xml:space="preserve">Відстрочені податкові активи визнаються для всіх невикористаних податкових збитків в тій мірі, в якій ймовірно отримання оподатковуваного прибутку, за рахунок якого можливо буде реалізувати дані збитки. Від керівництва </w:t>
      </w:r>
      <w:r w:rsidR="00E77AC3">
        <w:rPr>
          <w:lang w:val="uk-UA"/>
        </w:rPr>
        <w:t>Товариства</w:t>
      </w:r>
      <w:r w:rsidRPr="00DD57A1">
        <w:rPr>
          <w:lang w:val="uk-UA"/>
        </w:rPr>
        <w:t xml:space="preserve"> вимагається прийняття істотного професійного судження при визначенні суми відстрочених податкових активів, які можна визнати, на основі очікуваного терміну і рівня оподатковуваних прибутків з урахуванням стратегії майбутнього податкового планування.</w:t>
      </w:r>
    </w:p>
    <w:p w:rsidR="00CE4D0C" w:rsidRPr="00DD57A1" w:rsidRDefault="00CE4D0C" w:rsidP="00C429BC">
      <w:pPr>
        <w:autoSpaceDE w:val="0"/>
        <w:ind w:firstLine="540"/>
        <w:jc w:val="both"/>
        <w:rPr>
          <w:lang w:val="uk-UA"/>
        </w:rPr>
      </w:pPr>
    </w:p>
    <w:p w:rsidR="005C5E5E" w:rsidRDefault="00EC7E20" w:rsidP="000079E1">
      <w:pPr>
        <w:ind w:firstLine="397"/>
        <w:jc w:val="both"/>
        <w:rPr>
          <w:b/>
          <w:lang w:val="uk-UA"/>
        </w:rPr>
      </w:pPr>
      <w:r>
        <w:rPr>
          <w:b/>
          <w:lang w:val="uk-UA"/>
        </w:rPr>
        <w:t>5</w:t>
      </w:r>
      <w:r w:rsidR="00CE4D0C" w:rsidRPr="00DD57A1">
        <w:rPr>
          <w:b/>
          <w:lang w:val="uk-UA"/>
        </w:rPr>
        <w:t xml:space="preserve">. </w:t>
      </w:r>
      <w:r w:rsidR="005C5E5E" w:rsidRPr="005C5E5E">
        <w:rPr>
          <w:b/>
          <w:lang w:val="uk-UA"/>
        </w:rPr>
        <w:t>Розкриття інформації щодо використання справедливої вартості</w:t>
      </w:r>
    </w:p>
    <w:p w:rsidR="005C5E5E" w:rsidRPr="00482B77" w:rsidRDefault="005C5E5E" w:rsidP="00640FE7">
      <w:pPr>
        <w:shd w:val="clear" w:color="auto" w:fill="FFFFFF"/>
        <w:spacing w:before="120" w:after="120" w:line="276" w:lineRule="auto"/>
        <w:ind w:firstLine="397"/>
        <w:rPr>
          <w:b/>
          <w:bCs/>
          <w:spacing w:val="-2"/>
          <w:lang w:val="uk-UA"/>
        </w:rPr>
      </w:pPr>
      <w:r>
        <w:rPr>
          <w:b/>
          <w:lang w:val="uk-UA"/>
        </w:rPr>
        <w:t xml:space="preserve">5.1. </w:t>
      </w:r>
      <w:r w:rsidRPr="00482B77">
        <w:rPr>
          <w:b/>
          <w:bCs/>
          <w:spacing w:val="-2"/>
          <w:lang w:val="uk-UA"/>
        </w:rPr>
        <w:t>Методики оцінювання та вхідні дані, використані для складання оцінок</w:t>
      </w:r>
      <w:r w:rsidR="000079E1">
        <w:rPr>
          <w:b/>
          <w:bCs/>
          <w:spacing w:val="-2"/>
          <w:lang w:val="uk-UA"/>
        </w:rPr>
        <w:t xml:space="preserve"> за </w:t>
      </w:r>
      <w:r w:rsidRPr="00482B77">
        <w:rPr>
          <w:b/>
          <w:bCs/>
          <w:spacing w:val="-2"/>
          <w:lang w:val="uk-UA"/>
        </w:rPr>
        <w:t>справедливою вартістю</w:t>
      </w:r>
    </w:p>
    <w:p w:rsidR="005C5E5E" w:rsidRDefault="005C5E5E" w:rsidP="00EA7DC6">
      <w:pPr>
        <w:shd w:val="clear" w:color="auto" w:fill="FFFFFF"/>
        <w:autoSpaceDE w:val="0"/>
        <w:autoSpaceDN w:val="0"/>
        <w:adjustRightInd w:val="0"/>
        <w:spacing w:after="120"/>
        <w:ind w:firstLine="397"/>
        <w:jc w:val="both"/>
        <w:rPr>
          <w:lang w:val="uk-UA"/>
        </w:rPr>
      </w:pPr>
      <w:r w:rsidRPr="00482B77">
        <w:rPr>
          <w:lang w:val="uk-UA"/>
        </w:rPr>
        <w:t>Товариство здійснює виключно безперервні оцінки справедливої вартості активів та зобов’язань, тобто такі оцінки, які вимагаються МСФЗ 9 та МСФЗ 13 у звіті про фінансовий стан на кінець кожного звітного періоду.</w:t>
      </w:r>
      <w:r>
        <w:rPr>
          <w:lang w:val="uk-UA"/>
        </w:rPr>
        <w:t xml:space="preserve"> Товариство відбирає вхідні дані, які відповідають характеристикам активу чи зобов’язанням, що їх брали б до уваги учасники ринку в операції з активом чи зобов’язанням.</w:t>
      </w:r>
    </w:p>
    <w:p w:rsidR="005C5E5E" w:rsidRDefault="005C5E5E" w:rsidP="00EA7DC6">
      <w:pPr>
        <w:shd w:val="clear" w:color="auto" w:fill="FFFFFF"/>
        <w:autoSpaceDE w:val="0"/>
        <w:autoSpaceDN w:val="0"/>
        <w:adjustRightInd w:val="0"/>
        <w:spacing w:after="120"/>
        <w:ind w:firstLine="397"/>
        <w:jc w:val="both"/>
        <w:rPr>
          <w:lang w:val="uk-UA"/>
        </w:rPr>
      </w:pPr>
      <w:r>
        <w:rPr>
          <w:lang w:val="uk-UA"/>
        </w:rPr>
        <w:t>Активи, що оцінюються за справедливою вартістю Товариство поділяє на нижче складенні класи активів, яким притаманні відповідні методики та методи оцінювання.</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93"/>
        <w:gridCol w:w="3415"/>
        <w:gridCol w:w="1440"/>
        <w:gridCol w:w="2799"/>
      </w:tblGrid>
      <w:tr w:rsidR="005C5E5E" w:rsidRPr="005C5E5E" w:rsidTr="00007CE6">
        <w:tc>
          <w:tcPr>
            <w:tcW w:w="2093" w:type="dxa"/>
            <w:shd w:val="clear" w:color="auto" w:fill="auto"/>
          </w:tcPr>
          <w:p w:rsidR="005C5E5E" w:rsidRPr="005C5E5E" w:rsidRDefault="005C5E5E" w:rsidP="005C5E5E">
            <w:pPr>
              <w:spacing w:line="276" w:lineRule="auto"/>
              <w:rPr>
                <w:lang w:val="uk-UA"/>
              </w:rPr>
            </w:pPr>
            <w:r w:rsidRPr="005C5E5E">
              <w:rPr>
                <w:rFonts w:eastAsia="Calibri"/>
                <w:lang w:val="uk-UA"/>
              </w:rPr>
              <w:t>Класи активів та зобов’язань, оцінених за справедливою вартістю</w:t>
            </w:r>
          </w:p>
        </w:tc>
        <w:tc>
          <w:tcPr>
            <w:tcW w:w="3415" w:type="dxa"/>
            <w:shd w:val="clear" w:color="auto" w:fill="auto"/>
          </w:tcPr>
          <w:p w:rsidR="005C5E5E" w:rsidRPr="005C5E5E" w:rsidRDefault="005C5E5E" w:rsidP="005C5E5E">
            <w:pPr>
              <w:spacing w:line="276" w:lineRule="auto"/>
              <w:rPr>
                <w:rFonts w:eastAsia="Calibri"/>
                <w:lang w:val="uk-UA"/>
              </w:rPr>
            </w:pPr>
          </w:p>
          <w:p w:rsidR="005C5E5E" w:rsidRPr="005C5E5E" w:rsidRDefault="005C5E5E" w:rsidP="005C5E5E">
            <w:pPr>
              <w:spacing w:line="276" w:lineRule="auto"/>
              <w:rPr>
                <w:rFonts w:eastAsia="Calibri"/>
                <w:lang w:val="uk-UA"/>
              </w:rPr>
            </w:pPr>
            <w:r w:rsidRPr="005C5E5E">
              <w:rPr>
                <w:rFonts w:eastAsia="Calibri"/>
                <w:lang w:val="uk-UA"/>
              </w:rPr>
              <w:t>Методики оцінювання</w:t>
            </w:r>
          </w:p>
        </w:tc>
        <w:tc>
          <w:tcPr>
            <w:tcW w:w="1440" w:type="dxa"/>
            <w:shd w:val="clear" w:color="auto" w:fill="auto"/>
          </w:tcPr>
          <w:p w:rsidR="005C5E5E" w:rsidRPr="005C5E5E" w:rsidRDefault="005C5E5E" w:rsidP="005C5E5E">
            <w:pPr>
              <w:spacing w:line="276" w:lineRule="auto"/>
              <w:rPr>
                <w:rFonts w:eastAsia="Calibri"/>
                <w:lang w:val="uk-UA"/>
              </w:rPr>
            </w:pPr>
            <w:r w:rsidRPr="005C5E5E">
              <w:rPr>
                <w:rFonts w:eastAsia="Calibri"/>
                <w:lang w:val="uk-UA"/>
              </w:rPr>
              <w:t>Метод оцінки (ринковий, дохідний, витратний)</w:t>
            </w:r>
          </w:p>
        </w:tc>
        <w:tc>
          <w:tcPr>
            <w:tcW w:w="2799" w:type="dxa"/>
            <w:shd w:val="clear" w:color="auto" w:fill="auto"/>
          </w:tcPr>
          <w:p w:rsidR="005C5E5E" w:rsidRPr="005C5E5E" w:rsidRDefault="005C5E5E" w:rsidP="005C5E5E">
            <w:pPr>
              <w:spacing w:line="276" w:lineRule="auto"/>
              <w:rPr>
                <w:rFonts w:eastAsia="Calibri"/>
                <w:lang w:val="uk-UA"/>
              </w:rPr>
            </w:pPr>
          </w:p>
          <w:p w:rsidR="005C5E5E" w:rsidRPr="005C5E5E" w:rsidRDefault="005C5E5E" w:rsidP="005C5E5E">
            <w:pPr>
              <w:spacing w:line="276" w:lineRule="auto"/>
              <w:rPr>
                <w:rFonts w:eastAsia="Calibri"/>
                <w:lang w:val="uk-UA"/>
              </w:rPr>
            </w:pPr>
            <w:r w:rsidRPr="005C5E5E">
              <w:rPr>
                <w:rFonts w:eastAsia="Calibri"/>
                <w:lang w:val="uk-UA"/>
              </w:rPr>
              <w:t>Вихідні дані</w:t>
            </w:r>
          </w:p>
        </w:tc>
      </w:tr>
      <w:tr w:rsidR="005C5E5E" w:rsidRPr="005C5E5E" w:rsidTr="00007CE6">
        <w:tc>
          <w:tcPr>
            <w:tcW w:w="2093" w:type="dxa"/>
            <w:shd w:val="clear" w:color="auto" w:fill="auto"/>
          </w:tcPr>
          <w:p w:rsidR="005C5E5E" w:rsidRPr="005C5E5E" w:rsidRDefault="005C5E5E" w:rsidP="005C5E5E">
            <w:pPr>
              <w:spacing w:line="276" w:lineRule="auto"/>
              <w:rPr>
                <w:lang w:val="uk-UA"/>
              </w:rPr>
            </w:pPr>
            <w:r w:rsidRPr="005C5E5E">
              <w:rPr>
                <w:rFonts w:eastAsia="Calibri"/>
                <w:lang w:val="uk-UA"/>
              </w:rPr>
              <w:t xml:space="preserve">Грошові кошти </w:t>
            </w:r>
          </w:p>
        </w:tc>
        <w:tc>
          <w:tcPr>
            <w:tcW w:w="3415" w:type="dxa"/>
            <w:shd w:val="clear" w:color="auto" w:fill="auto"/>
          </w:tcPr>
          <w:p w:rsidR="005C5E5E" w:rsidRPr="005C5E5E" w:rsidRDefault="005C5E5E" w:rsidP="005C5E5E">
            <w:pPr>
              <w:spacing w:line="276" w:lineRule="auto"/>
              <w:rPr>
                <w:lang w:val="uk-UA"/>
              </w:rPr>
            </w:pPr>
            <w:r w:rsidRPr="005C5E5E">
              <w:rPr>
                <w:rFonts w:eastAsia="Calibri"/>
                <w:lang w:val="uk-UA"/>
              </w:rPr>
              <w:t>Первісна та подальша оцінка грошових коштів  здійснюється за справедливою вартістю, яка дорівнює їх номінальній вартості</w:t>
            </w:r>
          </w:p>
        </w:tc>
        <w:tc>
          <w:tcPr>
            <w:tcW w:w="1440" w:type="dxa"/>
            <w:shd w:val="clear" w:color="auto" w:fill="auto"/>
          </w:tcPr>
          <w:p w:rsidR="005C5E5E" w:rsidRPr="005C5E5E" w:rsidRDefault="005C5E5E" w:rsidP="005C5E5E">
            <w:pPr>
              <w:spacing w:line="276" w:lineRule="auto"/>
              <w:rPr>
                <w:lang w:val="uk-UA"/>
              </w:rPr>
            </w:pPr>
            <w:r w:rsidRPr="005C5E5E">
              <w:rPr>
                <w:rFonts w:eastAsia="Calibri"/>
                <w:lang w:val="uk-UA"/>
              </w:rPr>
              <w:t>Ринковий</w:t>
            </w:r>
          </w:p>
        </w:tc>
        <w:tc>
          <w:tcPr>
            <w:tcW w:w="2799" w:type="dxa"/>
            <w:shd w:val="clear" w:color="auto" w:fill="auto"/>
          </w:tcPr>
          <w:p w:rsidR="005C5E5E" w:rsidRPr="005C5E5E" w:rsidRDefault="005C5E5E" w:rsidP="005C5E5E">
            <w:pPr>
              <w:spacing w:line="276" w:lineRule="auto"/>
              <w:rPr>
                <w:lang w:val="uk-UA"/>
              </w:rPr>
            </w:pPr>
            <w:r w:rsidRPr="005C5E5E">
              <w:rPr>
                <w:rFonts w:eastAsia="Calibri"/>
                <w:lang w:val="uk-UA"/>
              </w:rPr>
              <w:t>Офіційні курси НБУ</w:t>
            </w:r>
          </w:p>
        </w:tc>
      </w:tr>
      <w:tr w:rsidR="005C5E5E" w:rsidRPr="00E430D2" w:rsidTr="00007CE6">
        <w:tc>
          <w:tcPr>
            <w:tcW w:w="2093" w:type="dxa"/>
            <w:shd w:val="clear" w:color="auto" w:fill="auto"/>
          </w:tcPr>
          <w:p w:rsidR="005C5E5E" w:rsidRPr="005C5E5E" w:rsidRDefault="005C5E5E" w:rsidP="005C5E5E">
            <w:pPr>
              <w:spacing w:line="276" w:lineRule="auto"/>
              <w:rPr>
                <w:rFonts w:eastAsia="Calibri"/>
                <w:lang w:val="uk-UA"/>
              </w:rPr>
            </w:pPr>
            <w:r w:rsidRPr="005C5E5E">
              <w:rPr>
                <w:rFonts w:eastAsia="Calibri"/>
                <w:lang w:val="uk-UA"/>
              </w:rPr>
              <w:t>Інструменти капіталу</w:t>
            </w:r>
          </w:p>
        </w:tc>
        <w:tc>
          <w:tcPr>
            <w:tcW w:w="3415" w:type="dxa"/>
            <w:shd w:val="clear" w:color="auto" w:fill="auto"/>
          </w:tcPr>
          <w:p w:rsidR="005C5E5E" w:rsidRPr="005C5E5E" w:rsidRDefault="005C5E5E" w:rsidP="005C5E5E">
            <w:pPr>
              <w:spacing w:line="276" w:lineRule="auto"/>
              <w:rPr>
                <w:rFonts w:eastAsia="Calibri"/>
                <w:lang w:val="uk-UA"/>
              </w:rPr>
            </w:pPr>
            <w:r w:rsidRPr="005C5E5E">
              <w:rPr>
                <w:rFonts w:eastAsia="Calibri"/>
                <w:lang w:val="uk-UA"/>
              </w:rPr>
              <w:t>Первісна оцінка інструментів капіталу здійснюється за справедливою вартістю, яка зазвичай дорівнює ціні операції, в ході якої був отриманий актив. Подальша оцінка інструментів капіталу здійснюється за справедливою вартістю.</w:t>
            </w:r>
          </w:p>
        </w:tc>
        <w:tc>
          <w:tcPr>
            <w:tcW w:w="1440" w:type="dxa"/>
            <w:shd w:val="clear" w:color="auto" w:fill="auto"/>
          </w:tcPr>
          <w:p w:rsidR="005C5E5E" w:rsidRPr="005C5E5E" w:rsidRDefault="00007CE6" w:rsidP="00007CE6">
            <w:pPr>
              <w:spacing w:line="276" w:lineRule="auto"/>
              <w:rPr>
                <w:rFonts w:eastAsia="Calibri"/>
                <w:lang w:val="uk-UA"/>
              </w:rPr>
            </w:pPr>
            <w:r>
              <w:rPr>
                <w:rFonts w:eastAsia="Calibri"/>
                <w:lang w:val="uk-UA"/>
              </w:rPr>
              <w:t>Ринковий</w:t>
            </w:r>
            <w:r w:rsidR="005C5E5E" w:rsidRPr="005C5E5E">
              <w:rPr>
                <w:rFonts w:eastAsia="Calibri"/>
                <w:lang w:val="uk-UA"/>
              </w:rPr>
              <w:t xml:space="preserve"> </w:t>
            </w:r>
          </w:p>
        </w:tc>
        <w:tc>
          <w:tcPr>
            <w:tcW w:w="2799" w:type="dxa"/>
            <w:shd w:val="clear" w:color="auto" w:fill="auto"/>
          </w:tcPr>
          <w:p w:rsidR="005C5E5E" w:rsidRPr="005C5E5E" w:rsidRDefault="005C5E5E" w:rsidP="00007CE6">
            <w:pPr>
              <w:spacing w:line="276" w:lineRule="auto"/>
              <w:rPr>
                <w:rFonts w:eastAsia="Calibri"/>
                <w:lang w:val="uk-UA"/>
              </w:rPr>
            </w:pPr>
            <w:r w:rsidRPr="005C5E5E">
              <w:rPr>
                <w:rFonts w:eastAsia="Calibri"/>
                <w:lang w:val="uk-UA"/>
              </w:rPr>
              <w:t>Офіційні біржові курси організаторів торгів на дату оцінки, котирування аналогічних інструментів капіталу</w:t>
            </w:r>
          </w:p>
        </w:tc>
      </w:tr>
      <w:tr w:rsidR="00BA4EBE" w:rsidRPr="00E430D2" w:rsidTr="00007CE6">
        <w:tc>
          <w:tcPr>
            <w:tcW w:w="2093" w:type="dxa"/>
            <w:shd w:val="clear" w:color="auto" w:fill="auto"/>
          </w:tcPr>
          <w:p w:rsidR="00BA4EBE" w:rsidRPr="005C5E5E" w:rsidRDefault="00BA4EBE" w:rsidP="00BA4EBE">
            <w:pPr>
              <w:spacing w:line="276" w:lineRule="auto"/>
              <w:rPr>
                <w:rFonts w:eastAsia="Calibri"/>
                <w:lang w:val="uk-UA"/>
              </w:rPr>
            </w:pPr>
            <w:r>
              <w:rPr>
                <w:rFonts w:eastAsia="Calibri"/>
                <w:lang w:val="uk-UA"/>
              </w:rPr>
              <w:t>Дебіторська заборгованість</w:t>
            </w:r>
          </w:p>
        </w:tc>
        <w:tc>
          <w:tcPr>
            <w:tcW w:w="3415" w:type="dxa"/>
            <w:shd w:val="clear" w:color="auto" w:fill="auto"/>
          </w:tcPr>
          <w:p w:rsidR="00BA4EBE" w:rsidRPr="005C5E5E" w:rsidRDefault="00BA4EBE" w:rsidP="00BA4EBE">
            <w:pPr>
              <w:spacing w:line="276" w:lineRule="auto"/>
              <w:rPr>
                <w:rFonts w:eastAsia="Calibri"/>
                <w:lang w:val="uk-UA"/>
              </w:rPr>
            </w:pPr>
            <w:r w:rsidRPr="005C5E5E">
              <w:rPr>
                <w:rFonts w:eastAsia="Calibri"/>
                <w:lang w:val="uk-UA"/>
              </w:rPr>
              <w:t xml:space="preserve">Первісна оцінка </w:t>
            </w:r>
            <w:r>
              <w:rPr>
                <w:rFonts w:eastAsia="Calibri"/>
                <w:lang w:val="uk-UA"/>
              </w:rPr>
              <w:t>дебіторської заборгованості</w:t>
            </w:r>
            <w:r w:rsidRPr="005C5E5E">
              <w:rPr>
                <w:rFonts w:eastAsia="Calibri"/>
                <w:lang w:val="uk-UA"/>
              </w:rPr>
              <w:t xml:space="preserve"> здійснюється за справедливою вартістю, яка </w:t>
            </w:r>
            <w:r>
              <w:rPr>
                <w:rFonts w:eastAsia="Calibri"/>
                <w:lang w:val="uk-UA"/>
              </w:rPr>
              <w:t>дорівнює вартості погашення,тобто сумі очікуваних договірних грошових потоків на дату оцінки</w:t>
            </w:r>
            <w:r w:rsidRPr="005C5E5E">
              <w:rPr>
                <w:rFonts w:eastAsia="Calibri"/>
                <w:lang w:val="uk-UA"/>
              </w:rPr>
              <w:t xml:space="preserve">. </w:t>
            </w:r>
          </w:p>
        </w:tc>
        <w:tc>
          <w:tcPr>
            <w:tcW w:w="1440" w:type="dxa"/>
            <w:shd w:val="clear" w:color="auto" w:fill="auto"/>
          </w:tcPr>
          <w:p w:rsidR="00BA4EBE" w:rsidRPr="005C5E5E" w:rsidRDefault="00BA4EBE" w:rsidP="00BA4EBE">
            <w:pPr>
              <w:spacing w:line="276" w:lineRule="auto"/>
              <w:rPr>
                <w:rFonts w:eastAsia="Calibri"/>
                <w:lang w:val="uk-UA"/>
              </w:rPr>
            </w:pPr>
            <w:r w:rsidRPr="005C5E5E">
              <w:rPr>
                <w:rFonts w:eastAsia="Calibri"/>
                <w:lang w:val="uk-UA"/>
              </w:rPr>
              <w:t xml:space="preserve">Ринковий, дохідний </w:t>
            </w:r>
          </w:p>
        </w:tc>
        <w:tc>
          <w:tcPr>
            <w:tcW w:w="2799" w:type="dxa"/>
            <w:shd w:val="clear" w:color="auto" w:fill="auto"/>
          </w:tcPr>
          <w:p w:rsidR="00BA4EBE" w:rsidRPr="005C5E5E" w:rsidRDefault="00BA4EBE" w:rsidP="00BA4EBE">
            <w:pPr>
              <w:spacing w:line="276" w:lineRule="auto"/>
              <w:rPr>
                <w:rFonts w:eastAsia="Calibri"/>
                <w:lang w:val="uk-UA"/>
              </w:rPr>
            </w:pPr>
            <w:r>
              <w:rPr>
                <w:rFonts w:eastAsia="Calibri"/>
                <w:lang w:val="uk-UA"/>
              </w:rPr>
              <w:t>Контрактні умови, ймовірність погашення, очікувані вхідні грошові потоки</w:t>
            </w:r>
          </w:p>
        </w:tc>
      </w:tr>
      <w:tr w:rsidR="00007CE6" w:rsidRPr="00E430D2" w:rsidTr="00007CE6">
        <w:tc>
          <w:tcPr>
            <w:tcW w:w="2093" w:type="dxa"/>
            <w:shd w:val="clear" w:color="auto" w:fill="auto"/>
          </w:tcPr>
          <w:p w:rsidR="00007CE6" w:rsidRDefault="00007CE6" w:rsidP="00BA4EBE">
            <w:pPr>
              <w:spacing w:line="276" w:lineRule="auto"/>
              <w:rPr>
                <w:rFonts w:eastAsia="Calibri"/>
                <w:lang w:val="uk-UA"/>
              </w:rPr>
            </w:pPr>
            <w:r>
              <w:t>Поточні зобов’язання</w:t>
            </w:r>
          </w:p>
        </w:tc>
        <w:tc>
          <w:tcPr>
            <w:tcW w:w="3415" w:type="dxa"/>
            <w:shd w:val="clear" w:color="auto" w:fill="auto"/>
          </w:tcPr>
          <w:p w:rsidR="00007CE6" w:rsidRPr="00007CE6" w:rsidRDefault="00007CE6" w:rsidP="00007CE6">
            <w:pPr>
              <w:spacing w:line="276" w:lineRule="auto"/>
              <w:rPr>
                <w:rFonts w:eastAsia="Calibri"/>
                <w:lang w:val="uk-UA"/>
              </w:rPr>
            </w:pPr>
            <w:r w:rsidRPr="00007CE6">
              <w:rPr>
                <w:rFonts w:eastAsia="Calibri"/>
                <w:lang w:val="uk-UA"/>
              </w:rPr>
              <w:t>Первісна та подальша оцінка поточних зобов’язань здійснюється за вартістю погашення</w:t>
            </w:r>
          </w:p>
          <w:p w:rsidR="00007CE6" w:rsidRPr="00007CE6" w:rsidRDefault="00007CE6" w:rsidP="00BA4EBE">
            <w:pPr>
              <w:spacing w:line="276" w:lineRule="auto"/>
              <w:rPr>
                <w:rFonts w:eastAsia="Calibri"/>
              </w:rPr>
            </w:pPr>
          </w:p>
        </w:tc>
        <w:tc>
          <w:tcPr>
            <w:tcW w:w="1440" w:type="dxa"/>
            <w:shd w:val="clear" w:color="auto" w:fill="auto"/>
          </w:tcPr>
          <w:p w:rsidR="00007CE6" w:rsidRDefault="00007CE6" w:rsidP="00007CE6">
            <w:pPr>
              <w:pStyle w:val="a8"/>
              <w:ind w:left="-121"/>
            </w:pPr>
            <w:r>
              <w:t>Витратний</w:t>
            </w:r>
          </w:p>
          <w:p w:rsidR="00007CE6" w:rsidRPr="005C5E5E" w:rsidRDefault="00007CE6" w:rsidP="00BA4EBE">
            <w:pPr>
              <w:spacing w:line="276" w:lineRule="auto"/>
              <w:rPr>
                <w:rFonts w:eastAsia="Calibri"/>
                <w:lang w:val="uk-UA"/>
              </w:rPr>
            </w:pPr>
          </w:p>
        </w:tc>
        <w:tc>
          <w:tcPr>
            <w:tcW w:w="2799" w:type="dxa"/>
            <w:shd w:val="clear" w:color="auto" w:fill="auto"/>
          </w:tcPr>
          <w:p w:rsidR="00007CE6" w:rsidRPr="00007CE6" w:rsidRDefault="00007CE6" w:rsidP="00007CE6">
            <w:pPr>
              <w:spacing w:line="276" w:lineRule="auto"/>
              <w:rPr>
                <w:rFonts w:eastAsia="Calibri"/>
                <w:lang w:val="uk-UA"/>
              </w:rPr>
            </w:pPr>
            <w:r w:rsidRPr="00007CE6">
              <w:rPr>
                <w:rFonts w:eastAsia="Calibri"/>
                <w:lang w:val="uk-UA"/>
              </w:rPr>
              <w:t>Контрактні умови, ймовірність погашення, очікувані вихідні грошові потоки</w:t>
            </w:r>
          </w:p>
          <w:p w:rsidR="00007CE6" w:rsidRPr="00E430D2" w:rsidRDefault="00007CE6" w:rsidP="00007CE6">
            <w:pPr>
              <w:spacing w:line="276" w:lineRule="auto"/>
              <w:ind w:left="-144"/>
              <w:rPr>
                <w:rFonts w:eastAsia="Calibri"/>
                <w:lang w:val="uk-UA"/>
              </w:rPr>
            </w:pPr>
          </w:p>
        </w:tc>
      </w:tr>
    </w:tbl>
    <w:p w:rsidR="005C5E5E" w:rsidRDefault="005C5E5E" w:rsidP="00C429BC">
      <w:pPr>
        <w:ind w:firstLine="540"/>
        <w:jc w:val="both"/>
        <w:rPr>
          <w:b/>
          <w:lang w:val="uk-UA"/>
        </w:rPr>
      </w:pPr>
    </w:p>
    <w:p w:rsidR="00A02CF8" w:rsidRPr="00C712BF" w:rsidRDefault="00A02CF8" w:rsidP="00A02CF8">
      <w:pPr>
        <w:shd w:val="clear" w:color="auto" w:fill="FFFFFF"/>
        <w:spacing w:line="276" w:lineRule="auto"/>
        <w:rPr>
          <w:b/>
          <w:bCs/>
          <w:spacing w:val="-2"/>
          <w:lang w:val="uk-UA"/>
        </w:rPr>
      </w:pPr>
      <w:r>
        <w:rPr>
          <w:b/>
          <w:lang w:val="uk-UA"/>
        </w:rPr>
        <w:t xml:space="preserve">5.2. </w:t>
      </w:r>
      <w:r w:rsidRPr="00C712BF">
        <w:rPr>
          <w:b/>
          <w:bCs/>
          <w:spacing w:val="-2"/>
          <w:lang w:val="uk-UA"/>
        </w:rPr>
        <w:t>Вплив використання закритих вхідних даних (3-го рівня) для періодичних оцінок справедливої вартості на прибуток або збиток</w:t>
      </w:r>
    </w:p>
    <w:p w:rsidR="00A02CF8" w:rsidRPr="00C712BF" w:rsidRDefault="00A02CF8" w:rsidP="00A02CF8">
      <w:pPr>
        <w:shd w:val="clear" w:color="auto" w:fill="FFFFFF"/>
        <w:autoSpaceDE w:val="0"/>
        <w:autoSpaceDN w:val="0"/>
        <w:adjustRightInd w:val="0"/>
        <w:spacing w:line="276" w:lineRule="auto"/>
        <w:ind w:firstLine="397"/>
        <w:jc w:val="both"/>
        <w:rPr>
          <w:lang w:val="uk-UA"/>
        </w:rPr>
      </w:pPr>
      <w:r w:rsidRPr="00C712BF">
        <w:rPr>
          <w:lang w:val="uk-UA"/>
        </w:rPr>
        <w:t>Операції відсутні.</w:t>
      </w:r>
    </w:p>
    <w:p w:rsidR="005C5E5E" w:rsidRDefault="005C5E5E" w:rsidP="00C429BC">
      <w:pPr>
        <w:ind w:firstLine="540"/>
        <w:jc w:val="both"/>
        <w:rPr>
          <w:b/>
          <w:lang w:val="uk-UA"/>
        </w:rPr>
      </w:pPr>
    </w:p>
    <w:p w:rsidR="00A02CF8" w:rsidRPr="00C712BF" w:rsidRDefault="00A02CF8" w:rsidP="00A02CF8">
      <w:pPr>
        <w:shd w:val="clear" w:color="auto" w:fill="FFFFFF"/>
        <w:spacing w:line="276" w:lineRule="auto"/>
        <w:rPr>
          <w:b/>
          <w:bCs/>
          <w:spacing w:val="-2"/>
          <w:lang w:val="uk-UA"/>
        </w:rPr>
      </w:pPr>
      <w:r>
        <w:rPr>
          <w:b/>
          <w:lang w:val="uk-UA"/>
        </w:rPr>
        <w:t xml:space="preserve">5.3. </w:t>
      </w:r>
      <w:r w:rsidRPr="00C712BF">
        <w:rPr>
          <w:b/>
          <w:bCs/>
          <w:spacing w:val="-2"/>
          <w:lang w:val="uk-UA"/>
        </w:rPr>
        <w:t>Рівень ієрархії справедливої вартості, до якого належать оцінки справедливої вартості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01"/>
        <w:gridCol w:w="941"/>
        <w:gridCol w:w="942"/>
        <w:gridCol w:w="942"/>
        <w:gridCol w:w="942"/>
        <w:gridCol w:w="1035"/>
        <w:gridCol w:w="1035"/>
        <w:gridCol w:w="916"/>
        <w:gridCol w:w="1093"/>
      </w:tblGrid>
      <w:tr w:rsidR="00C91C33" w:rsidRPr="00C91C33" w:rsidTr="005C1F71">
        <w:tc>
          <w:tcPr>
            <w:tcW w:w="1901" w:type="dxa"/>
            <w:vMerge w:val="restart"/>
            <w:shd w:val="clear" w:color="auto" w:fill="auto"/>
          </w:tcPr>
          <w:p w:rsidR="00C91C33" w:rsidRPr="00C91C33" w:rsidRDefault="00C91C33" w:rsidP="00C91C33">
            <w:pPr>
              <w:autoSpaceDE w:val="0"/>
              <w:autoSpaceDN w:val="0"/>
              <w:adjustRightInd w:val="0"/>
              <w:spacing w:line="276" w:lineRule="auto"/>
              <w:jc w:val="center"/>
              <w:rPr>
                <w:sz w:val="20"/>
                <w:szCs w:val="20"/>
                <w:lang w:val="uk-UA"/>
              </w:rPr>
            </w:pPr>
            <w:r w:rsidRPr="00C91C33">
              <w:rPr>
                <w:rFonts w:eastAsia="Calibri"/>
                <w:bCs/>
                <w:sz w:val="20"/>
                <w:szCs w:val="20"/>
                <w:lang w:val="uk-UA" w:eastAsia="uk-UA"/>
              </w:rPr>
              <w:t>Класи активів та зобов’язань, оцінених за справедливою вартістю</w:t>
            </w:r>
          </w:p>
        </w:tc>
        <w:tc>
          <w:tcPr>
            <w:tcW w:w="1883" w:type="dxa"/>
            <w:gridSpan w:val="2"/>
            <w:shd w:val="clear" w:color="auto" w:fill="auto"/>
          </w:tcPr>
          <w:p w:rsidR="00C91C33" w:rsidRPr="00C91C33" w:rsidRDefault="00C91C33" w:rsidP="00C91C33">
            <w:pPr>
              <w:autoSpaceDE w:val="0"/>
              <w:autoSpaceDN w:val="0"/>
              <w:adjustRightInd w:val="0"/>
              <w:spacing w:line="276" w:lineRule="auto"/>
              <w:jc w:val="center"/>
              <w:rPr>
                <w:rFonts w:eastAsia="Calibri"/>
                <w:b/>
                <w:bCs/>
                <w:sz w:val="20"/>
                <w:szCs w:val="20"/>
                <w:lang w:val="uk-UA" w:eastAsia="uk-UA"/>
              </w:rPr>
            </w:pPr>
            <w:r w:rsidRPr="00C91C33">
              <w:rPr>
                <w:rFonts w:eastAsia="Calibri"/>
                <w:b/>
                <w:bCs/>
                <w:sz w:val="20"/>
                <w:szCs w:val="20"/>
                <w:lang w:val="uk-UA" w:eastAsia="uk-UA"/>
              </w:rPr>
              <w:t>1 рівень</w:t>
            </w:r>
          </w:p>
          <w:p w:rsidR="00C91C33" w:rsidRPr="00C91C33" w:rsidRDefault="00C91C33" w:rsidP="00C91C33">
            <w:pPr>
              <w:autoSpaceDE w:val="0"/>
              <w:autoSpaceDN w:val="0"/>
              <w:adjustRightInd w:val="0"/>
              <w:spacing w:line="276" w:lineRule="auto"/>
              <w:jc w:val="center"/>
              <w:rPr>
                <w:sz w:val="20"/>
                <w:szCs w:val="20"/>
                <w:lang w:val="uk-UA"/>
              </w:rPr>
            </w:pPr>
            <w:r w:rsidRPr="00C91C33">
              <w:rPr>
                <w:rFonts w:eastAsia="Calibri"/>
                <w:sz w:val="20"/>
                <w:szCs w:val="20"/>
                <w:lang w:val="uk-UA" w:eastAsia="uk-UA"/>
              </w:rPr>
              <w:t>(ті, що мають котирування, та спостережувані)</w:t>
            </w:r>
          </w:p>
        </w:tc>
        <w:tc>
          <w:tcPr>
            <w:tcW w:w="1884" w:type="dxa"/>
            <w:gridSpan w:val="2"/>
            <w:shd w:val="clear" w:color="auto" w:fill="auto"/>
          </w:tcPr>
          <w:p w:rsidR="00C91C33" w:rsidRPr="00C91C33" w:rsidRDefault="00C91C33" w:rsidP="00C91C33">
            <w:pPr>
              <w:autoSpaceDE w:val="0"/>
              <w:autoSpaceDN w:val="0"/>
              <w:adjustRightInd w:val="0"/>
              <w:spacing w:line="276" w:lineRule="auto"/>
              <w:jc w:val="center"/>
              <w:rPr>
                <w:rFonts w:eastAsia="Calibri"/>
                <w:b/>
                <w:bCs/>
                <w:sz w:val="20"/>
                <w:szCs w:val="20"/>
                <w:lang w:val="uk-UA" w:eastAsia="uk-UA"/>
              </w:rPr>
            </w:pPr>
            <w:r w:rsidRPr="00C91C33">
              <w:rPr>
                <w:rFonts w:eastAsia="Calibri"/>
                <w:b/>
                <w:bCs/>
                <w:sz w:val="20"/>
                <w:szCs w:val="20"/>
                <w:lang w:val="uk-UA" w:eastAsia="uk-UA"/>
              </w:rPr>
              <w:t>2 рівень</w:t>
            </w:r>
          </w:p>
          <w:p w:rsidR="00C91C33" w:rsidRPr="00C91C33" w:rsidRDefault="00C91C33" w:rsidP="00C91C33">
            <w:pPr>
              <w:autoSpaceDE w:val="0"/>
              <w:autoSpaceDN w:val="0"/>
              <w:adjustRightInd w:val="0"/>
              <w:spacing w:line="276" w:lineRule="auto"/>
              <w:jc w:val="center"/>
              <w:rPr>
                <w:sz w:val="20"/>
                <w:szCs w:val="20"/>
                <w:lang w:val="uk-UA"/>
              </w:rPr>
            </w:pPr>
            <w:r w:rsidRPr="00C91C33">
              <w:rPr>
                <w:rFonts w:eastAsia="Calibri"/>
                <w:sz w:val="20"/>
                <w:szCs w:val="20"/>
                <w:lang w:val="uk-UA" w:eastAsia="uk-UA"/>
              </w:rPr>
              <w:t>(ті, що не мають котирувань, але спостережувані)</w:t>
            </w:r>
          </w:p>
        </w:tc>
        <w:tc>
          <w:tcPr>
            <w:tcW w:w="2070" w:type="dxa"/>
            <w:gridSpan w:val="2"/>
            <w:shd w:val="clear" w:color="auto" w:fill="auto"/>
          </w:tcPr>
          <w:p w:rsidR="00C91C33" w:rsidRPr="00C91C33" w:rsidRDefault="00C91C33" w:rsidP="00C91C33">
            <w:pPr>
              <w:autoSpaceDE w:val="0"/>
              <w:autoSpaceDN w:val="0"/>
              <w:adjustRightInd w:val="0"/>
              <w:spacing w:line="276" w:lineRule="auto"/>
              <w:jc w:val="center"/>
              <w:rPr>
                <w:rFonts w:eastAsia="Calibri"/>
                <w:b/>
                <w:bCs/>
                <w:sz w:val="20"/>
                <w:szCs w:val="20"/>
                <w:lang w:val="uk-UA" w:eastAsia="uk-UA"/>
              </w:rPr>
            </w:pPr>
            <w:r w:rsidRPr="00C91C33">
              <w:rPr>
                <w:rFonts w:eastAsia="Calibri"/>
                <w:b/>
                <w:bCs/>
                <w:sz w:val="20"/>
                <w:szCs w:val="20"/>
                <w:lang w:val="uk-UA" w:eastAsia="uk-UA"/>
              </w:rPr>
              <w:t>3 рівень</w:t>
            </w:r>
          </w:p>
          <w:p w:rsidR="00C91C33" w:rsidRPr="00C91C33" w:rsidRDefault="00C91C33" w:rsidP="00C91C33">
            <w:pPr>
              <w:autoSpaceDE w:val="0"/>
              <w:autoSpaceDN w:val="0"/>
              <w:adjustRightInd w:val="0"/>
              <w:spacing w:line="276" w:lineRule="auto"/>
              <w:jc w:val="center"/>
              <w:rPr>
                <w:sz w:val="20"/>
                <w:szCs w:val="20"/>
                <w:lang w:val="uk-UA"/>
              </w:rPr>
            </w:pPr>
            <w:r w:rsidRPr="00C91C33">
              <w:rPr>
                <w:rFonts w:eastAsia="Calibri"/>
                <w:sz w:val="20"/>
                <w:szCs w:val="20"/>
                <w:lang w:val="uk-UA" w:eastAsia="uk-UA"/>
              </w:rPr>
              <w:t>(ті, що не мають котирувань і не є спостережуваними)</w:t>
            </w:r>
          </w:p>
        </w:tc>
        <w:tc>
          <w:tcPr>
            <w:tcW w:w="2009" w:type="dxa"/>
            <w:gridSpan w:val="2"/>
            <w:shd w:val="clear" w:color="auto" w:fill="auto"/>
          </w:tcPr>
          <w:p w:rsidR="00C91C33" w:rsidRPr="00C91C33" w:rsidRDefault="00C91C33" w:rsidP="00C91C33">
            <w:pPr>
              <w:autoSpaceDE w:val="0"/>
              <w:autoSpaceDN w:val="0"/>
              <w:adjustRightInd w:val="0"/>
              <w:spacing w:after="60" w:line="276" w:lineRule="auto"/>
              <w:jc w:val="center"/>
              <w:rPr>
                <w:b/>
                <w:sz w:val="20"/>
                <w:szCs w:val="20"/>
                <w:lang w:val="uk-UA"/>
              </w:rPr>
            </w:pPr>
          </w:p>
          <w:p w:rsidR="00C91C33" w:rsidRPr="00C91C33" w:rsidRDefault="00C91C33" w:rsidP="00C91C33">
            <w:pPr>
              <w:autoSpaceDE w:val="0"/>
              <w:autoSpaceDN w:val="0"/>
              <w:adjustRightInd w:val="0"/>
              <w:spacing w:after="60" w:line="276" w:lineRule="auto"/>
              <w:jc w:val="center"/>
              <w:rPr>
                <w:b/>
                <w:sz w:val="20"/>
                <w:szCs w:val="20"/>
                <w:lang w:val="uk-UA"/>
              </w:rPr>
            </w:pPr>
            <w:r w:rsidRPr="00C91C33">
              <w:rPr>
                <w:b/>
                <w:sz w:val="20"/>
                <w:szCs w:val="20"/>
                <w:lang w:val="uk-UA"/>
              </w:rPr>
              <w:t>Усього</w:t>
            </w:r>
          </w:p>
        </w:tc>
      </w:tr>
      <w:tr w:rsidR="00C91C33" w:rsidRPr="00C91C33" w:rsidTr="005C1F71">
        <w:tc>
          <w:tcPr>
            <w:tcW w:w="1901" w:type="dxa"/>
            <w:vMerge/>
            <w:shd w:val="clear" w:color="auto" w:fill="auto"/>
          </w:tcPr>
          <w:p w:rsidR="00C91C33" w:rsidRPr="00C91C33" w:rsidRDefault="00C91C33" w:rsidP="00C91C33">
            <w:pPr>
              <w:autoSpaceDE w:val="0"/>
              <w:autoSpaceDN w:val="0"/>
              <w:adjustRightInd w:val="0"/>
              <w:spacing w:after="60" w:line="276" w:lineRule="auto"/>
              <w:jc w:val="both"/>
              <w:rPr>
                <w:sz w:val="20"/>
                <w:szCs w:val="20"/>
                <w:lang w:val="uk-UA"/>
              </w:rPr>
            </w:pPr>
          </w:p>
        </w:tc>
        <w:tc>
          <w:tcPr>
            <w:tcW w:w="941" w:type="dxa"/>
            <w:shd w:val="clear" w:color="auto" w:fill="auto"/>
          </w:tcPr>
          <w:p w:rsidR="00C91C33" w:rsidRPr="00C91C33" w:rsidRDefault="00C91C33" w:rsidP="00C91C33">
            <w:pPr>
              <w:autoSpaceDE w:val="0"/>
              <w:autoSpaceDN w:val="0"/>
              <w:adjustRightInd w:val="0"/>
              <w:spacing w:after="60" w:line="276" w:lineRule="auto"/>
              <w:jc w:val="center"/>
              <w:rPr>
                <w:sz w:val="20"/>
                <w:szCs w:val="20"/>
                <w:lang w:val="uk-UA"/>
              </w:rPr>
            </w:pPr>
            <w:r w:rsidRPr="00C91C33">
              <w:rPr>
                <w:sz w:val="20"/>
                <w:szCs w:val="20"/>
                <w:lang w:val="uk-UA"/>
              </w:rPr>
              <w:t>20</w:t>
            </w:r>
            <w:r w:rsidR="00A10A11">
              <w:rPr>
                <w:sz w:val="20"/>
                <w:szCs w:val="20"/>
                <w:lang w:val="uk-UA"/>
              </w:rPr>
              <w:t>20</w:t>
            </w:r>
          </w:p>
        </w:tc>
        <w:tc>
          <w:tcPr>
            <w:tcW w:w="942" w:type="dxa"/>
            <w:shd w:val="clear" w:color="auto" w:fill="auto"/>
          </w:tcPr>
          <w:p w:rsidR="00C91C33" w:rsidRPr="00C91C33" w:rsidRDefault="005C1F71" w:rsidP="00C91C33">
            <w:pPr>
              <w:autoSpaceDE w:val="0"/>
              <w:autoSpaceDN w:val="0"/>
              <w:adjustRightInd w:val="0"/>
              <w:spacing w:after="60" w:line="276" w:lineRule="auto"/>
              <w:jc w:val="center"/>
              <w:rPr>
                <w:sz w:val="20"/>
                <w:szCs w:val="20"/>
                <w:lang w:val="uk-UA"/>
              </w:rPr>
            </w:pPr>
            <w:r>
              <w:rPr>
                <w:sz w:val="20"/>
                <w:szCs w:val="20"/>
                <w:lang w:val="uk-UA"/>
              </w:rPr>
              <w:t>202</w:t>
            </w:r>
            <w:r w:rsidR="00A10A11">
              <w:rPr>
                <w:sz w:val="20"/>
                <w:szCs w:val="20"/>
                <w:lang w:val="uk-UA"/>
              </w:rPr>
              <w:t>1</w:t>
            </w:r>
          </w:p>
        </w:tc>
        <w:tc>
          <w:tcPr>
            <w:tcW w:w="942" w:type="dxa"/>
            <w:shd w:val="clear" w:color="auto" w:fill="auto"/>
          </w:tcPr>
          <w:p w:rsidR="00C91C33" w:rsidRPr="00C91C33" w:rsidRDefault="00C91C33" w:rsidP="00C91C33">
            <w:pPr>
              <w:autoSpaceDE w:val="0"/>
              <w:autoSpaceDN w:val="0"/>
              <w:adjustRightInd w:val="0"/>
              <w:spacing w:after="60" w:line="276" w:lineRule="auto"/>
              <w:jc w:val="center"/>
              <w:rPr>
                <w:sz w:val="20"/>
                <w:szCs w:val="20"/>
                <w:lang w:val="uk-UA"/>
              </w:rPr>
            </w:pPr>
            <w:r w:rsidRPr="00C91C33">
              <w:rPr>
                <w:sz w:val="20"/>
                <w:szCs w:val="20"/>
                <w:lang w:val="uk-UA"/>
              </w:rPr>
              <w:t>20</w:t>
            </w:r>
            <w:r w:rsidR="00A10A11">
              <w:rPr>
                <w:sz w:val="20"/>
                <w:szCs w:val="20"/>
                <w:lang w:val="uk-UA"/>
              </w:rPr>
              <w:t>20</w:t>
            </w:r>
          </w:p>
        </w:tc>
        <w:tc>
          <w:tcPr>
            <w:tcW w:w="942" w:type="dxa"/>
            <w:shd w:val="clear" w:color="auto" w:fill="auto"/>
          </w:tcPr>
          <w:p w:rsidR="00C91C33" w:rsidRPr="00C91C33" w:rsidRDefault="005C1F71" w:rsidP="00C91C33">
            <w:pPr>
              <w:autoSpaceDE w:val="0"/>
              <w:autoSpaceDN w:val="0"/>
              <w:adjustRightInd w:val="0"/>
              <w:spacing w:after="60" w:line="276" w:lineRule="auto"/>
              <w:jc w:val="center"/>
              <w:rPr>
                <w:sz w:val="20"/>
                <w:szCs w:val="20"/>
                <w:lang w:val="uk-UA"/>
              </w:rPr>
            </w:pPr>
            <w:r>
              <w:rPr>
                <w:sz w:val="20"/>
                <w:szCs w:val="20"/>
                <w:lang w:val="uk-UA"/>
              </w:rPr>
              <w:t>202</w:t>
            </w:r>
            <w:r w:rsidR="00A10A11">
              <w:rPr>
                <w:sz w:val="20"/>
                <w:szCs w:val="20"/>
                <w:lang w:val="uk-UA"/>
              </w:rPr>
              <w:t>1</w:t>
            </w:r>
          </w:p>
        </w:tc>
        <w:tc>
          <w:tcPr>
            <w:tcW w:w="1035" w:type="dxa"/>
            <w:shd w:val="clear" w:color="auto" w:fill="auto"/>
          </w:tcPr>
          <w:p w:rsidR="00C91C33" w:rsidRPr="00C91C33" w:rsidRDefault="00C91C33" w:rsidP="00C91C33">
            <w:pPr>
              <w:autoSpaceDE w:val="0"/>
              <w:autoSpaceDN w:val="0"/>
              <w:adjustRightInd w:val="0"/>
              <w:spacing w:after="60" w:line="276" w:lineRule="auto"/>
              <w:jc w:val="center"/>
              <w:rPr>
                <w:sz w:val="20"/>
                <w:szCs w:val="20"/>
                <w:lang w:val="uk-UA"/>
              </w:rPr>
            </w:pPr>
            <w:r w:rsidRPr="00C91C33">
              <w:rPr>
                <w:sz w:val="20"/>
                <w:szCs w:val="20"/>
                <w:lang w:val="uk-UA"/>
              </w:rPr>
              <w:t>20</w:t>
            </w:r>
            <w:r w:rsidR="00A10A11">
              <w:rPr>
                <w:sz w:val="20"/>
                <w:szCs w:val="20"/>
                <w:lang w:val="uk-UA"/>
              </w:rPr>
              <w:t>20</w:t>
            </w:r>
          </w:p>
        </w:tc>
        <w:tc>
          <w:tcPr>
            <w:tcW w:w="1035" w:type="dxa"/>
            <w:shd w:val="clear" w:color="auto" w:fill="auto"/>
          </w:tcPr>
          <w:p w:rsidR="00C91C33" w:rsidRPr="00C91C33" w:rsidRDefault="005C1F71" w:rsidP="00C91C33">
            <w:pPr>
              <w:autoSpaceDE w:val="0"/>
              <w:autoSpaceDN w:val="0"/>
              <w:adjustRightInd w:val="0"/>
              <w:spacing w:after="60" w:line="276" w:lineRule="auto"/>
              <w:jc w:val="center"/>
              <w:rPr>
                <w:sz w:val="20"/>
                <w:szCs w:val="20"/>
                <w:lang w:val="uk-UA"/>
              </w:rPr>
            </w:pPr>
            <w:r>
              <w:rPr>
                <w:sz w:val="20"/>
                <w:szCs w:val="20"/>
                <w:lang w:val="uk-UA"/>
              </w:rPr>
              <w:t>202</w:t>
            </w:r>
            <w:r w:rsidR="00A10A11">
              <w:rPr>
                <w:sz w:val="20"/>
                <w:szCs w:val="20"/>
                <w:lang w:val="uk-UA"/>
              </w:rPr>
              <w:t>1</w:t>
            </w:r>
          </w:p>
        </w:tc>
        <w:tc>
          <w:tcPr>
            <w:tcW w:w="916" w:type="dxa"/>
            <w:shd w:val="clear" w:color="auto" w:fill="auto"/>
          </w:tcPr>
          <w:p w:rsidR="00C91C33" w:rsidRPr="00C91C33" w:rsidRDefault="00C91C33" w:rsidP="00C91C33">
            <w:pPr>
              <w:autoSpaceDE w:val="0"/>
              <w:autoSpaceDN w:val="0"/>
              <w:adjustRightInd w:val="0"/>
              <w:spacing w:after="60" w:line="276" w:lineRule="auto"/>
              <w:jc w:val="center"/>
              <w:rPr>
                <w:sz w:val="20"/>
                <w:szCs w:val="20"/>
                <w:lang w:val="uk-UA"/>
              </w:rPr>
            </w:pPr>
            <w:r w:rsidRPr="00C91C33">
              <w:rPr>
                <w:sz w:val="20"/>
                <w:szCs w:val="20"/>
                <w:lang w:val="uk-UA"/>
              </w:rPr>
              <w:t>20</w:t>
            </w:r>
            <w:r w:rsidR="00A10A11">
              <w:rPr>
                <w:sz w:val="20"/>
                <w:szCs w:val="20"/>
                <w:lang w:val="uk-UA"/>
              </w:rPr>
              <w:t>20</w:t>
            </w:r>
          </w:p>
        </w:tc>
        <w:tc>
          <w:tcPr>
            <w:tcW w:w="1093" w:type="dxa"/>
            <w:shd w:val="clear" w:color="auto" w:fill="auto"/>
          </w:tcPr>
          <w:p w:rsidR="00C91C33" w:rsidRPr="00C91C33" w:rsidRDefault="005C1F71" w:rsidP="00C91C33">
            <w:pPr>
              <w:autoSpaceDE w:val="0"/>
              <w:autoSpaceDN w:val="0"/>
              <w:adjustRightInd w:val="0"/>
              <w:spacing w:after="60" w:line="276" w:lineRule="auto"/>
              <w:jc w:val="center"/>
              <w:rPr>
                <w:sz w:val="20"/>
                <w:szCs w:val="20"/>
                <w:lang w:val="uk-UA"/>
              </w:rPr>
            </w:pPr>
            <w:r>
              <w:rPr>
                <w:sz w:val="20"/>
                <w:szCs w:val="20"/>
                <w:lang w:val="uk-UA"/>
              </w:rPr>
              <w:t>202</w:t>
            </w:r>
            <w:r w:rsidR="00A10A11">
              <w:rPr>
                <w:sz w:val="20"/>
                <w:szCs w:val="20"/>
                <w:lang w:val="uk-UA"/>
              </w:rPr>
              <w:t>1</w:t>
            </w:r>
          </w:p>
        </w:tc>
      </w:tr>
      <w:tr w:rsidR="00C91C33" w:rsidRPr="00C91C33" w:rsidTr="005C1F71">
        <w:tc>
          <w:tcPr>
            <w:tcW w:w="1901" w:type="dxa"/>
            <w:shd w:val="clear" w:color="auto" w:fill="auto"/>
          </w:tcPr>
          <w:p w:rsidR="00C91C33" w:rsidRPr="00C91C33" w:rsidRDefault="00C91C33" w:rsidP="00C91C33">
            <w:pPr>
              <w:autoSpaceDE w:val="0"/>
              <w:autoSpaceDN w:val="0"/>
              <w:adjustRightInd w:val="0"/>
              <w:spacing w:after="60" w:line="276" w:lineRule="auto"/>
              <w:jc w:val="both"/>
              <w:rPr>
                <w:sz w:val="20"/>
                <w:szCs w:val="20"/>
                <w:lang w:val="uk-UA"/>
              </w:rPr>
            </w:pPr>
            <w:r w:rsidRPr="00C91C33">
              <w:rPr>
                <w:sz w:val="20"/>
                <w:szCs w:val="20"/>
                <w:lang w:val="uk-UA"/>
              </w:rPr>
              <w:t>Дата оцінки</w:t>
            </w:r>
          </w:p>
        </w:tc>
        <w:tc>
          <w:tcPr>
            <w:tcW w:w="941" w:type="dxa"/>
            <w:shd w:val="clear" w:color="auto" w:fill="auto"/>
          </w:tcPr>
          <w:p w:rsidR="00C91C33" w:rsidRPr="00C91C33" w:rsidRDefault="00C91C33" w:rsidP="00C91C33">
            <w:pPr>
              <w:autoSpaceDE w:val="0"/>
              <w:autoSpaceDN w:val="0"/>
              <w:adjustRightInd w:val="0"/>
              <w:spacing w:after="60" w:line="276" w:lineRule="auto"/>
              <w:jc w:val="both"/>
              <w:rPr>
                <w:sz w:val="20"/>
                <w:szCs w:val="20"/>
                <w:lang w:val="uk-UA"/>
              </w:rPr>
            </w:pPr>
            <w:r w:rsidRPr="00C91C33">
              <w:rPr>
                <w:sz w:val="20"/>
                <w:szCs w:val="20"/>
                <w:lang w:val="uk-UA"/>
              </w:rPr>
              <w:t>31.12.</w:t>
            </w:r>
            <w:r w:rsidR="00A10A11">
              <w:rPr>
                <w:sz w:val="20"/>
                <w:szCs w:val="20"/>
                <w:lang w:val="uk-UA"/>
              </w:rPr>
              <w:t>20</w:t>
            </w:r>
          </w:p>
        </w:tc>
        <w:tc>
          <w:tcPr>
            <w:tcW w:w="942" w:type="dxa"/>
            <w:shd w:val="clear" w:color="auto" w:fill="auto"/>
          </w:tcPr>
          <w:p w:rsidR="00C91C33" w:rsidRPr="00C91C33" w:rsidRDefault="00C91C33" w:rsidP="007E3B66">
            <w:pPr>
              <w:autoSpaceDE w:val="0"/>
              <w:autoSpaceDN w:val="0"/>
              <w:adjustRightInd w:val="0"/>
              <w:spacing w:after="60" w:line="276" w:lineRule="auto"/>
              <w:jc w:val="both"/>
              <w:rPr>
                <w:sz w:val="20"/>
                <w:szCs w:val="20"/>
                <w:lang w:val="uk-UA"/>
              </w:rPr>
            </w:pPr>
            <w:r w:rsidRPr="00C91C33">
              <w:rPr>
                <w:sz w:val="20"/>
                <w:szCs w:val="20"/>
                <w:lang w:val="uk-UA"/>
              </w:rPr>
              <w:t>31.12.</w:t>
            </w:r>
            <w:r w:rsidR="007E3B66">
              <w:rPr>
                <w:sz w:val="20"/>
                <w:szCs w:val="20"/>
                <w:lang w:val="uk-UA"/>
              </w:rPr>
              <w:t>2</w:t>
            </w:r>
            <w:r w:rsidR="00A10A11">
              <w:rPr>
                <w:sz w:val="20"/>
                <w:szCs w:val="20"/>
                <w:lang w:val="uk-UA"/>
              </w:rPr>
              <w:t>1</w:t>
            </w:r>
          </w:p>
        </w:tc>
        <w:tc>
          <w:tcPr>
            <w:tcW w:w="942" w:type="dxa"/>
            <w:shd w:val="clear" w:color="auto" w:fill="auto"/>
          </w:tcPr>
          <w:p w:rsidR="00C91C33" w:rsidRPr="00C91C33" w:rsidRDefault="00C91C33" w:rsidP="00C91C33">
            <w:pPr>
              <w:autoSpaceDE w:val="0"/>
              <w:autoSpaceDN w:val="0"/>
              <w:adjustRightInd w:val="0"/>
              <w:spacing w:after="60" w:line="276" w:lineRule="auto"/>
              <w:jc w:val="both"/>
              <w:rPr>
                <w:sz w:val="20"/>
                <w:szCs w:val="20"/>
                <w:lang w:val="uk-UA"/>
              </w:rPr>
            </w:pPr>
            <w:r w:rsidRPr="00C91C33">
              <w:rPr>
                <w:sz w:val="20"/>
                <w:szCs w:val="20"/>
                <w:lang w:val="uk-UA"/>
              </w:rPr>
              <w:t>31.12.</w:t>
            </w:r>
            <w:r w:rsidR="00A10A11">
              <w:rPr>
                <w:sz w:val="20"/>
                <w:szCs w:val="20"/>
                <w:lang w:val="uk-UA"/>
              </w:rPr>
              <w:t>20</w:t>
            </w:r>
          </w:p>
        </w:tc>
        <w:tc>
          <w:tcPr>
            <w:tcW w:w="942" w:type="dxa"/>
            <w:shd w:val="clear" w:color="auto" w:fill="auto"/>
          </w:tcPr>
          <w:p w:rsidR="00C91C33" w:rsidRPr="00C91C33" w:rsidRDefault="00C91C33" w:rsidP="007E3B66">
            <w:pPr>
              <w:autoSpaceDE w:val="0"/>
              <w:autoSpaceDN w:val="0"/>
              <w:adjustRightInd w:val="0"/>
              <w:spacing w:after="60" w:line="276" w:lineRule="auto"/>
              <w:jc w:val="both"/>
              <w:rPr>
                <w:sz w:val="20"/>
                <w:szCs w:val="20"/>
                <w:lang w:val="uk-UA"/>
              </w:rPr>
            </w:pPr>
            <w:r w:rsidRPr="00C91C33">
              <w:rPr>
                <w:sz w:val="20"/>
                <w:szCs w:val="20"/>
                <w:lang w:val="uk-UA"/>
              </w:rPr>
              <w:t>31.12.</w:t>
            </w:r>
            <w:r w:rsidR="007E3B66">
              <w:rPr>
                <w:sz w:val="20"/>
                <w:szCs w:val="20"/>
                <w:lang w:val="uk-UA"/>
              </w:rPr>
              <w:t>2</w:t>
            </w:r>
            <w:r w:rsidR="00A10A11">
              <w:rPr>
                <w:sz w:val="20"/>
                <w:szCs w:val="20"/>
                <w:lang w:val="uk-UA"/>
              </w:rPr>
              <w:t>1</w:t>
            </w:r>
          </w:p>
        </w:tc>
        <w:tc>
          <w:tcPr>
            <w:tcW w:w="1035" w:type="dxa"/>
            <w:shd w:val="clear" w:color="auto" w:fill="auto"/>
          </w:tcPr>
          <w:p w:rsidR="00C91C33" w:rsidRPr="00C91C33" w:rsidRDefault="00C91C33" w:rsidP="00C91C33">
            <w:pPr>
              <w:autoSpaceDE w:val="0"/>
              <w:autoSpaceDN w:val="0"/>
              <w:adjustRightInd w:val="0"/>
              <w:spacing w:after="60" w:line="276" w:lineRule="auto"/>
              <w:jc w:val="both"/>
              <w:rPr>
                <w:sz w:val="20"/>
                <w:szCs w:val="20"/>
                <w:lang w:val="uk-UA"/>
              </w:rPr>
            </w:pPr>
            <w:r w:rsidRPr="00C91C33">
              <w:rPr>
                <w:sz w:val="20"/>
                <w:szCs w:val="20"/>
                <w:lang w:val="uk-UA"/>
              </w:rPr>
              <w:t>31.12.</w:t>
            </w:r>
            <w:r w:rsidR="00A10A11">
              <w:rPr>
                <w:sz w:val="20"/>
                <w:szCs w:val="20"/>
                <w:lang w:val="uk-UA"/>
              </w:rPr>
              <w:t>20</w:t>
            </w:r>
          </w:p>
        </w:tc>
        <w:tc>
          <w:tcPr>
            <w:tcW w:w="1035" w:type="dxa"/>
            <w:shd w:val="clear" w:color="auto" w:fill="auto"/>
          </w:tcPr>
          <w:p w:rsidR="00C91C33" w:rsidRPr="00C91C33" w:rsidRDefault="00C91C33" w:rsidP="007E3B66">
            <w:pPr>
              <w:autoSpaceDE w:val="0"/>
              <w:autoSpaceDN w:val="0"/>
              <w:adjustRightInd w:val="0"/>
              <w:spacing w:after="60" w:line="276" w:lineRule="auto"/>
              <w:jc w:val="both"/>
              <w:rPr>
                <w:sz w:val="20"/>
                <w:szCs w:val="20"/>
                <w:lang w:val="uk-UA"/>
              </w:rPr>
            </w:pPr>
            <w:r w:rsidRPr="00C91C33">
              <w:rPr>
                <w:sz w:val="20"/>
                <w:szCs w:val="20"/>
                <w:lang w:val="uk-UA"/>
              </w:rPr>
              <w:t>31.12.</w:t>
            </w:r>
            <w:r w:rsidR="007E3B66">
              <w:rPr>
                <w:sz w:val="20"/>
                <w:szCs w:val="20"/>
                <w:lang w:val="uk-UA"/>
              </w:rPr>
              <w:t>2</w:t>
            </w:r>
            <w:r w:rsidR="00A10A11">
              <w:rPr>
                <w:sz w:val="20"/>
                <w:szCs w:val="20"/>
                <w:lang w:val="uk-UA"/>
              </w:rPr>
              <w:t>1</w:t>
            </w:r>
          </w:p>
        </w:tc>
        <w:tc>
          <w:tcPr>
            <w:tcW w:w="916" w:type="dxa"/>
            <w:shd w:val="clear" w:color="auto" w:fill="auto"/>
          </w:tcPr>
          <w:p w:rsidR="00C91C33" w:rsidRPr="00C91C33" w:rsidRDefault="00C91C33" w:rsidP="00C91C33">
            <w:pPr>
              <w:autoSpaceDE w:val="0"/>
              <w:autoSpaceDN w:val="0"/>
              <w:adjustRightInd w:val="0"/>
              <w:spacing w:after="60" w:line="276" w:lineRule="auto"/>
              <w:jc w:val="both"/>
              <w:rPr>
                <w:sz w:val="20"/>
                <w:szCs w:val="20"/>
                <w:lang w:val="uk-UA"/>
              </w:rPr>
            </w:pPr>
            <w:r w:rsidRPr="00C91C33">
              <w:rPr>
                <w:sz w:val="20"/>
                <w:szCs w:val="20"/>
                <w:lang w:val="uk-UA"/>
              </w:rPr>
              <w:t>31.12.</w:t>
            </w:r>
            <w:r w:rsidR="00A10A11">
              <w:rPr>
                <w:sz w:val="20"/>
                <w:szCs w:val="20"/>
                <w:lang w:val="uk-UA"/>
              </w:rPr>
              <w:t>20</w:t>
            </w:r>
          </w:p>
        </w:tc>
        <w:tc>
          <w:tcPr>
            <w:tcW w:w="1093" w:type="dxa"/>
            <w:shd w:val="clear" w:color="auto" w:fill="auto"/>
          </w:tcPr>
          <w:p w:rsidR="00C91C33" w:rsidRDefault="00C91C33" w:rsidP="007E3B66">
            <w:pPr>
              <w:autoSpaceDE w:val="0"/>
              <w:autoSpaceDN w:val="0"/>
              <w:adjustRightInd w:val="0"/>
              <w:spacing w:after="60" w:line="276" w:lineRule="auto"/>
              <w:jc w:val="both"/>
              <w:rPr>
                <w:sz w:val="20"/>
                <w:szCs w:val="20"/>
                <w:lang w:val="uk-UA"/>
              </w:rPr>
            </w:pPr>
            <w:r w:rsidRPr="00C91C33">
              <w:rPr>
                <w:sz w:val="20"/>
                <w:szCs w:val="20"/>
                <w:lang w:val="uk-UA"/>
              </w:rPr>
              <w:t>31.12.</w:t>
            </w:r>
            <w:r w:rsidR="007E3B66">
              <w:rPr>
                <w:sz w:val="20"/>
                <w:szCs w:val="20"/>
                <w:lang w:val="uk-UA"/>
              </w:rPr>
              <w:t>2</w:t>
            </w:r>
            <w:r w:rsidR="00A10A11">
              <w:rPr>
                <w:sz w:val="20"/>
                <w:szCs w:val="20"/>
                <w:lang w:val="uk-UA"/>
              </w:rPr>
              <w:t>1</w:t>
            </w:r>
          </w:p>
          <w:p w:rsidR="00642CA2" w:rsidRPr="00C91C33" w:rsidRDefault="00642CA2" w:rsidP="007E3B66">
            <w:pPr>
              <w:autoSpaceDE w:val="0"/>
              <w:autoSpaceDN w:val="0"/>
              <w:adjustRightInd w:val="0"/>
              <w:spacing w:after="60" w:line="276" w:lineRule="auto"/>
              <w:jc w:val="both"/>
              <w:rPr>
                <w:sz w:val="20"/>
                <w:szCs w:val="20"/>
                <w:lang w:val="uk-UA"/>
              </w:rPr>
            </w:pPr>
          </w:p>
        </w:tc>
      </w:tr>
      <w:tr w:rsidR="00C91C33" w:rsidRPr="00C91C33" w:rsidTr="005C1F71">
        <w:tc>
          <w:tcPr>
            <w:tcW w:w="1901" w:type="dxa"/>
            <w:shd w:val="clear" w:color="auto" w:fill="auto"/>
          </w:tcPr>
          <w:p w:rsidR="00C91C33" w:rsidRPr="00C91C33" w:rsidRDefault="00642CA2" w:rsidP="00DC296D">
            <w:pPr>
              <w:autoSpaceDE w:val="0"/>
              <w:autoSpaceDN w:val="0"/>
              <w:adjustRightInd w:val="0"/>
              <w:spacing w:after="60" w:line="276" w:lineRule="auto"/>
              <w:rPr>
                <w:sz w:val="20"/>
                <w:szCs w:val="20"/>
                <w:lang w:val="uk-UA"/>
              </w:rPr>
            </w:pPr>
            <w:r>
              <w:rPr>
                <w:sz w:val="20"/>
                <w:szCs w:val="20"/>
                <w:lang w:val="uk-UA"/>
              </w:rPr>
              <w:t>Довгострокові фінансові інвестиції: інші фінансові інвестиції</w:t>
            </w:r>
          </w:p>
        </w:tc>
        <w:tc>
          <w:tcPr>
            <w:tcW w:w="941" w:type="dxa"/>
            <w:shd w:val="clear" w:color="auto" w:fill="auto"/>
            <w:vAlign w:val="center"/>
          </w:tcPr>
          <w:p w:rsidR="00C91C33" w:rsidRPr="00C91C33" w:rsidRDefault="00C91C33" w:rsidP="00C91C33">
            <w:pPr>
              <w:spacing w:line="276" w:lineRule="auto"/>
              <w:jc w:val="center"/>
              <w:rPr>
                <w:sz w:val="20"/>
                <w:szCs w:val="20"/>
              </w:rPr>
            </w:pPr>
            <w:r w:rsidRPr="00C91C33">
              <w:rPr>
                <w:sz w:val="20"/>
                <w:szCs w:val="20"/>
                <w:lang w:val="uk-UA"/>
              </w:rPr>
              <w:t>–</w:t>
            </w:r>
          </w:p>
        </w:tc>
        <w:tc>
          <w:tcPr>
            <w:tcW w:w="942" w:type="dxa"/>
            <w:shd w:val="clear" w:color="auto" w:fill="auto"/>
            <w:vAlign w:val="center"/>
          </w:tcPr>
          <w:p w:rsidR="00C91C33" w:rsidRPr="00C91C33" w:rsidRDefault="00C91C33" w:rsidP="00C91C33">
            <w:pPr>
              <w:spacing w:line="276" w:lineRule="auto"/>
              <w:jc w:val="center"/>
              <w:rPr>
                <w:sz w:val="20"/>
                <w:szCs w:val="20"/>
              </w:rPr>
            </w:pPr>
            <w:r w:rsidRPr="00C91C33">
              <w:rPr>
                <w:sz w:val="20"/>
                <w:szCs w:val="20"/>
                <w:lang w:val="uk-UA"/>
              </w:rPr>
              <w:t>–</w:t>
            </w:r>
          </w:p>
        </w:tc>
        <w:tc>
          <w:tcPr>
            <w:tcW w:w="942" w:type="dxa"/>
            <w:shd w:val="clear" w:color="auto" w:fill="auto"/>
            <w:vAlign w:val="center"/>
          </w:tcPr>
          <w:p w:rsidR="00C91C33" w:rsidRPr="00C91C33" w:rsidRDefault="00C91C33" w:rsidP="00C91C33">
            <w:pPr>
              <w:spacing w:line="276" w:lineRule="auto"/>
              <w:jc w:val="center"/>
              <w:rPr>
                <w:sz w:val="20"/>
                <w:szCs w:val="20"/>
              </w:rPr>
            </w:pPr>
            <w:r w:rsidRPr="00C91C33">
              <w:rPr>
                <w:sz w:val="20"/>
                <w:szCs w:val="20"/>
                <w:lang w:val="uk-UA"/>
              </w:rPr>
              <w:t>–</w:t>
            </w:r>
          </w:p>
        </w:tc>
        <w:tc>
          <w:tcPr>
            <w:tcW w:w="942" w:type="dxa"/>
            <w:shd w:val="clear" w:color="auto" w:fill="auto"/>
            <w:vAlign w:val="center"/>
          </w:tcPr>
          <w:p w:rsidR="00C91C33" w:rsidRPr="00C91C33" w:rsidRDefault="00C91C33" w:rsidP="00C91C33">
            <w:pPr>
              <w:autoSpaceDE w:val="0"/>
              <w:autoSpaceDN w:val="0"/>
              <w:adjustRightInd w:val="0"/>
              <w:spacing w:after="60" w:line="276" w:lineRule="auto"/>
              <w:jc w:val="center"/>
              <w:rPr>
                <w:sz w:val="20"/>
                <w:szCs w:val="20"/>
                <w:lang w:val="uk-UA"/>
              </w:rPr>
            </w:pPr>
            <w:r w:rsidRPr="00C91C33">
              <w:rPr>
                <w:sz w:val="20"/>
                <w:szCs w:val="20"/>
                <w:lang w:val="uk-UA"/>
              </w:rPr>
              <w:t>–</w:t>
            </w:r>
          </w:p>
        </w:tc>
        <w:tc>
          <w:tcPr>
            <w:tcW w:w="1035" w:type="dxa"/>
            <w:shd w:val="clear" w:color="auto" w:fill="auto"/>
            <w:vAlign w:val="center"/>
          </w:tcPr>
          <w:p w:rsidR="00C91C33" w:rsidRPr="00C91C33" w:rsidRDefault="00C91C33" w:rsidP="00C91C33">
            <w:pPr>
              <w:autoSpaceDE w:val="0"/>
              <w:autoSpaceDN w:val="0"/>
              <w:adjustRightInd w:val="0"/>
              <w:spacing w:after="60" w:line="276" w:lineRule="auto"/>
              <w:jc w:val="center"/>
              <w:rPr>
                <w:sz w:val="20"/>
                <w:szCs w:val="20"/>
                <w:lang w:val="uk-UA"/>
              </w:rPr>
            </w:pPr>
          </w:p>
        </w:tc>
        <w:tc>
          <w:tcPr>
            <w:tcW w:w="1035" w:type="dxa"/>
            <w:shd w:val="clear" w:color="auto" w:fill="auto"/>
            <w:vAlign w:val="center"/>
          </w:tcPr>
          <w:p w:rsidR="00C91C33" w:rsidRPr="00C91C33" w:rsidRDefault="00C91C33" w:rsidP="00C91C33">
            <w:pPr>
              <w:autoSpaceDE w:val="0"/>
              <w:autoSpaceDN w:val="0"/>
              <w:adjustRightInd w:val="0"/>
              <w:spacing w:after="60" w:line="276" w:lineRule="auto"/>
              <w:jc w:val="center"/>
              <w:rPr>
                <w:sz w:val="20"/>
                <w:szCs w:val="20"/>
                <w:lang w:val="uk-UA"/>
              </w:rPr>
            </w:pPr>
          </w:p>
        </w:tc>
        <w:tc>
          <w:tcPr>
            <w:tcW w:w="916" w:type="dxa"/>
            <w:shd w:val="clear" w:color="auto" w:fill="auto"/>
            <w:vAlign w:val="center"/>
          </w:tcPr>
          <w:p w:rsidR="00C91C33" w:rsidRPr="00C91C33" w:rsidRDefault="00C91C33" w:rsidP="00C91C33">
            <w:pPr>
              <w:autoSpaceDE w:val="0"/>
              <w:autoSpaceDN w:val="0"/>
              <w:adjustRightInd w:val="0"/>
              <w:spacing w:after="60" w:line="276" w:lineRule="auto"/>
              <w:jc w:val="center"/>
              <w:rPr>
                <w:sz w:val="20"/>
                <w:szCs w:val="20"/>
                <w:lang w:val="uk-UA"/>
              </w:rPr>
            </w:pPr>
          </w:p>
        </w:tc>
        <w:tc>
          <w:tcPr>
            <w:tcW w:w="1093" w:type="dxa"/>
            <w:shd w:val="clear" w:color="auto" w:fill="auto"/>
            <w:vAlign w:val="center"/>
          </w:tcPr>
          <w:p w:rsidR="00C91C33" w:rsidRPr="00C91C33" w:rsidRDefault="00642CA2" w:rsidP="00C91C33">
            <w:pPr>
              <w:autoSpaceDE w:val="0"/>
              <w:autoSpaceDN w:val="0"/>
              <w:adjustRightInd w:val="0"/>
              <w:spacing w:after="60" w:line="276" w:lineRule="auto"/>
              <w:jc w:val="center"/>
              <w:rPr>
                <w:sz w:val="20"/>
                <w:szCs w:val="20"/>
                <w:lang w:val="uk-UA"/>
              </w:rPr>
            </w:pPr>
            <w:r>
              <w:rPr>
                <w:sz w:val="20"/>
                <w:szCs w:val="20"/>
                <w:lang w:val="uk-UA"/>
              </w:rPr>
              <w:t xml:space="preserve"> </w:t>
            </w:r>
          </w:p>
        </w:tc>
      </w:tr>
      <w:tr w:rsidR="00642CA2" w:rsidRPr="00C91C33" w:rsidTr="005C1F71">
        <w:tc>
          <w:tcPr>
            <w:tcW w:w="1901" w:type="dxa"/>
            <w:shd w:val="clear" w:color="auto" w:fill="auto"/>
          </w:tcPr>
          <w:p w:rsidR="00642CA2" w:rsidRDefault="00642CA2" w:rsidP="00DC296D">
            <w:pPr>
              <w:autoSpaceDE w:val="0"/>
              <w:autoSpaceDN w:val="0"/>
              <w:adjustRightInd w:val="0"/>
              <w:spacing w:after="60" w:line="276" w:lineRule="auto"/>
              <w:rPr>
                <w:sz w:val="20"/>
                <w:szCs w:val="20"/>
                <w:lang w:val="uk-UA"/>
              </w:rPr>
            </w:pPr>
            <w:r w:rsidRPr="00642CA2">
              <w:rPr>
                <w:sz w:val="20"/>
                <w:szCs w:val="20"/>
                <w:lang w:val="uk-UA"/>
              </w:rPr>
              <w:t>Дебіторська заборгованість</w:t>
            </w:r>
            <w:r>
              <w:rPr>
                <w:sz w:val="20"/>
                <w:szCs w:val="20"/>
                <w:lang w:val="uk-UA"/>
              </w:rPr>
              <w:t xml:space="preserve"> за продукцію, товари, роботи, послуги</w:t>
            </w:r>
          </w:p>
        </w:tc>
        <w:tc>
          <w:tcPr>
            <w:tcW w:w="941" w:type="dxa"/>
            <w:shd w:val="clear" w:color="auto" w:fill="auto"/>
            <w:vAlign w:val="center"/>
          </w:tcPr>
          <w:p w:rsidR="00642CA2" w:rsidRPr="00C91C33" w:rsidRDefault="00642CA2" w:rsidP="00C91C33">
            <w:pPr>
              <w:spacing w:line="276" w:lineRule="auto"/>
              <w:jc w:val="center"/>
              <w:rPr>
                <w:sz w:val="20"/>
                <w:szCs w:val="20"/>
                <w:lang w:val="uk-UA"/>
              </w:rPr>
            </w:pPr>
            <w:r>
              <w:rPr>
                <w:sz w:val="20"/>
                <w:szCs w:val="20"/>
                <w:lang w:val="uk-UA"/>
              </w:rPr>
              <w:t>-</w:t>
            </w:r>
          </w:p>
        </w:tc>
        <w:tc>
          <w:tcPr>
            <w:tcW w:w="942" w:type="dxa"/>
            <w:shd w:val="clear" w:color="auto" w:fill="auto"/>
            <w:vAlign w:val="center"/>
          </w:tcPr>
          <w:p w:rsidR="00642CA2" w:rsidRPr="00C91C33" w:rsidRDefault="00642CA2" w:rsidP="00C91C33">
            <w:pPr>
              <w:spacing w:line="276" w:lineRule="auto"/>
              <w:jc w:val="center"/>
              <w:rPr>
                <w:sz w:val="20"/>
                <w:szCs w:val="20"/>
                <w:lang w:val="uk-UA"/>
              </w:rPr>
            </w:pPr>
            <w:r>
              <w:rPr>
                <w:sz w:val="20"/>
                <w:szCs w:val="20"/>
                <w:lang w:val="uk-UA"/>
              </w:rPr>
              <w:t>-</w:t>
            </w:r>
          </w:p>
        </w:tc>
        <w:tc>
          <w:tcPr>
            <w:tcW w:w="942" w:type="dxa"/>
            <w:shd w:val="clear" w:color="auto" w:fill="auto"/>
            <w:vAlign w:val="center"/>
          </w:tcPr>
          <w:p w:rsidR="00642CA2" w:rsidRPr="00C91C33" w:rsidRDefault="00642CA2" w:rsidP="00C91C33">
            <w:pPr>
              <w:spacing w:line="276" w:lineRule="auto"/>
              <w:jc w:val="center"/>
              <w:rPr>
                <w:sz w:val="20"/>
                <w:szCs w:val="20"/>
                <w:lang w:val="uk-UA"/>
              </w:rPr>
            </w:pPr>
            <w:r>
              <w:rPr>
                <w:sz w:val="20"/>
                <w:szCs w:val="20"/>
                <w:lang w:val="uk-UA"/>
              </w:rPr>
              <w:t>-</w:t>
            </w:r>
          </w:p>
        </w:tc>
        <w:tc>
          <w:tcPr>
            <w:tcW w:w="942" w:type="dxa"/>
            <w:shd w:val="clear" w:color="auto" w:fill="auto"/>
            <w:vAlign w:val="center"/>
          </w:tcPr>
          <w:p w:rsidR="00642CA2" w:rsidRPr="00C91C33" w:rsidRDefault="00642CA2" w:rsidP="00C91C33">
            <w:pPr>
              <w:autoSpaceDE w:val="0"/>
              <w:autoSpaceDN w:val="0"/>
              <w:adjustRightInd w:val="0"/>
              <w:spacing w:after="60" w:line="276" w:lineRule="auto"/>
              <w:jc w:val="center"/>
              <w:rPr>
                <w:sz w:val="20"/>
                <w:szCs w:val="20"/>
                <w:lang w:val="uk-UA"/>
              </w:rPr>
            </w:pPr>
          </w:p>
        </w:tc>
        <w:tc>
          <w:tcPr>
            <w:tcW w:w="1035" w:type="dxa"/>
            <w:shd w:val="clear" w:color="auto" w:fill="auto"/>
            <w:vAlign w:val="center"/>
          </w:tcPr>
          <w:p w:rsidR="00642CA2" w:rsidRDefault="00CA0319" w:rsidP="00C91C33">
            <w:pPr>
              <w:autoSpaceDE w:val="0"/>
              <w:autoSpaceDN w:val="0"/>
              <w:adjustRightInd w:val="0"/>
              <w:spacing w:after="60" w:line="276" w:lineRule="auto"/>
              <w:jc w:val="center"/>
              <w:rPr>
                <w:sz w:val="20"/>
                <w:szCs w:val="20"/>
                <w:lang w:val="uk-UA"/>
              </w:rPr>
            </w:pPr>
            <w:r>
              <w:rPr>
                <w:sz w:val="20"/>
                <w:szCs w:val="20"/>
                <w:lang w:val="uk-UA"/>
              </w:rPr>
              <w:t>211</w:t>
            </w:r>
          </w:p>
        </w:tc>
        <w:tc>
          <w:tcPr>
            <w:tcW w:w="1035" w:type="dxa"/>
            <w:shd w:val="clear" w:color="auto" w:fill="auto"/>
            <w:vAlign w:val="center"/>
          </w:tcPr>
          <w:p w:rsidR="00642CA2" w:rsidRDefault="00CA0319" w:rsidP="00C91C33">
            <w:pPr>
              <w:autoSpaceDE w:val="0"/>
              <w:autoSpaceDN w:val="0"/>
              <w:adjustRightInd w:val="0"/>
              <w:spacing w:after="60" w:line="276" w:lineRule="auto"/>
              <w:jc w:val="center"/>
              <w:rPr>
                <w:sz w:val="20"/>
                <w:szCs w:val="20"/>
                <w:lang w:val="uk-UA"/>
              </w:rPr>
            </w:pPr>
            <w:r>
              <w:rPr>
                <w:sz w:val="20"/>
                <w:szCs w:val="20"/>
                <w:lang w:val="uk-UA"/>
              </w:rPr>
              <w:t>2</w:t>
            </w:r>
          </w:p>
        </w:tc>
        <w:tc>
          <w:tcPr>
            <w:tcW w:w="916" w:type="dxa"/>
            <w:shd w:val="clear" w:color="auto" w:fill="auto"/>
            <w:vAlign w:val="center"/>
          </w:tcPr>
          <w:p w:rsidR="00642CA2" w:rsidRDefault="00CA0319" w:rsidP="00C91C33">
            <w:pPr>
              <w:autoSpaceDE w:val="0"/>
              <w:autoSpaceDN w:val="0"/>
              <w:adjustRightInd w:val="0"/>
              <w:spacing w:after="60" w:line="276" w:lineRule="auto"/>
              <w:jc w:val="center"/>
              <w:rPr>
                <w:sz w:val="20"/>
                <w:szCs w:val="20"/>
                <w:lang w:val="uk-UA"/>
              </w:rPr>
            </w:pPr>
            <w:r>
              <w:rPr>
                <w:sz w:val="20"/>
                <w:szCs w:val="20"/>
                <w:lang w:val="uk-UA"/>
              </w:rPr>
              <w:t>211</w:t>
            </w:r>
          </w:p>
        </w:tc>
        <w:tc>
          <w:tcPr>
            <w:tcW w:w="1093" w:type="dxa"/>
            <w:shd w:val="clear" w:color="auto" w:fill="auto"/>
            <w:vAlign w:val="center"/>
          </w:tcPr>
          <w:p w:rsidR="00642CA2" w:rsidRDefault="00CA0319" w:rsidP="00C91C33">
            <w:pPr>
              <w:autoSpaceDE w:val="0"/>
              <w:autoSpaceDN w:val="0"/>
              <w:adjustRightInd w:val="0"/>
              <w:spacing w:after="60" w:line="276" w:lineRule="auto"/>
              <w:jc w:val="center"/>
              <w:rPr>
                <w:sz w:val="20"/>
                <w:szCs w:val="20"/>
                <w:lang w:val="uk-UA"/>
              </w:rPr>
            </w:pPr>
            <w:r>
              <w:rPr>
                <w:sz w:val="20"/>
                <w:szCs w:val="20"/>
                <w:lang w:val="uk-UA"/>
              </w:rPr>
              <w:t>2</w:t>
            </w:r>
          </w:p>
        </w:tc>
      </w:tr>
      <w:tr w:rsidR="00EB1D05" w:rsidRPr="00C91C33" w:rsidTr="005C1F71">
        <w:tc>
          <w:tcPr>
            <w:tcW w:w="1901" w:type="dxa"/>
            <w:shd w:val="clear" w:color="auto" w:fill="auto"/>
          </w:tcPr>
          <w:p w:rsidR="00EB1D05" w:rsidRPr="00642CA2" w:rsidRDefault="00EB1D05" w:rsidP="00DC296D">
            <w:pPr>
              <w:autoSpaceDE w:val="0"/>
              <w:autoSpaceDN w:val="0"/>
              <w:adjustRightInd w:val="0"/>
              <w:spacing w:after="60" w:line="276" w:lineRule="auto"/>
              <w:rPr>
                <w:sz w:val="20"/>
                <w:szCs w:val="20"/>
                <w:lang w:val="uk-UA"/>
              </w:rPr>
            </w:pPr>
            <w:r>
              <w:rPr>
                <w:sz w:val="20"/>
                <w:szCs w:val="20"/>
                <w:lang w:val="uk-UA"/>
              </w:rPr>
              <w:t>Інша поточна дебіторська заборгованість</w:t>
            </w:r>
          </w:p>
        </w:tc>
        <w:tc>
          <w:tcPr>
            <w:tcW w:w="941" w:type="dxa"/>
            <w:shd w:val="clear" w:color="auto" w:fill="auto"/>
            <w:vAlign w:val="center"/>
          </w:tcPr>
          <w:p w:rsidR="00EB1D05" w:rsidRDefault="00EB1D05" w:rsidP="00C91C33">
            <w:pPr>
              <w:spacing w:line="276" w:lineRule="auto"/>
              <w:jc w:val="center"/>
              <w:rPr>
                <w:sz w:val="20"/>
                <w:szCs w:val="20"/>
                <w:lang w:val="uk-UA"/>
              </w:rPr>
            </w:pPr>
            <w:r>
              <w:rPr>
                <w:sz w:val="20"/>
                <w:szCs w:val="20"/>
                <w:lang w:val="uk-UA"/>
              </w:rPr>
              <w:t>-</w:t>
            </w:r>
          </w:p>
        </w:tc>
        <w:tc>
          <w:tcPr>
            <w:tcW w:w="942" w:type="dxa"/>
            <w:shd w:val="clear" w:color="auto" w:fill="auto"/>
            <w:vAlign w:val="center"/>
          </w:tcPr>
          <w:p w:rsidR="00EB1D05" w:rsidRDefault="00EB1D05" w:rsidP="00C91C33">
            <w:pPr>
              <w:spacing w:line="276" w:lineRule="auto"/>
              <w:jc w:val="center"/>
              <w:rPr>
                <w:sz w:val="20"/>
                <w:szCs w:val="20"/>
                <w:lang w:val="uk-UA"/>
              </w:rPr>
            </w:pPr>
            <w:r>
              <w:rPr>
                <w:sz w:val="20"/>
                <w:szCs w:val="20"/>
                <w:lang w:val="uk-UA"/>
              </w:rPr>
              <w:t>-</w:t>
            </w:r>
          </w:p>
        </w:tc>
        <w:tc>
          <w:tcPr>
            <w:tcW w:w="942" w:type="dxa"/>
            <w:shd w:val="clear" w:color="auto" w:fill="auto"/>
            <w:vAlign w:val="center"/>
          </w:tcPr>
          <w:p w:rsidR="00EB1D05" w:rsidRDefault="00EB1D05" w:rsidP="00C91C33">
            <w:pPr>
              <w:spacing w:line="276" w:lineRule="auto"/>
              <w:jc w:val="center"/>
              <w:rPr>
                <w:sz w:val="20"/>
                <w:szCs w:val="20"/>
                <w:lang w:val="uk-UA"/>
              </w:rPr>
            </w:pPr>
            <w:r>
              <w:rPr>
                <w:sz w:val="20"/>
                <w:szCs w:val="20"/>
                <w:lang w:val="uk-UA"/>
              </w:rPr>
              <w:t>-</w:t>
            </w:r>
          </w:p>
        </w:tc>
        <w:tc>
          <w:tcPr>
            <w:tcW w:w="942" w:type="dxa"/>
            <w:shd w:val="clear" w:color="auto" w:fill="auto"/>
            <w:vAlign w:val="center"/>
          </w:tcPr>
          <w:p w:rsidR="00EB1D05" w:rsidRDefault="00EB1D05" w:rsidP="00C91C33">
            <w:pPr>
              <w:autoSpaceDE w:val="0"/>
              <w:autoSpaceDN w:val="0"/>
              <w:adjustRightInd w:val="0"/>
              <w:spacing w:after="60" w:line="276" w:lineRule="auto"/>
              <w:jc w:val="center"/>
              <w:rPr>
                <w:sz w:val="20"/>
                <w:szCs w:val="20"/>
                <w:lang w:val="uk-UA"/>
              </w:rPr>
            </w:pPr>
            <w:r>
              <w:rPr>
                <w:sz w:val="20"/>
                <w:szCs w:val="20"/>
                <w:lang w:val="uk-UA"/>
              </w:rPr>
              <w:t>-</w:t>
            </w:r>
          </w:p>
        </w:tc>
        <w:tc>
          <w:tcPr>
            <w:tcW w:w="1035" w:type="dxa"/>
            <w:shd w:val="clear" w:color="auto" w:fill="auto"/>
            <w:vAlign w:val="center"/>
          </w:tcPr>
          <w:p w:rsidR="00EB1D05" w:rsidRDefault="00160C84" w:rsidP="00C91C33">
            <w:pPr>
              <w:autoSpaceDE w:val="0"/>
              <w:autoSpaceDN w:val="0"/>
              <w:adjustRightInd w:val="0"/>
              <w:spacing w:after="60" w:line="276" w:lineRule="auto"/>
              <w:jc w:val="center"/>
              <w:rPr>
                <w:sz w:val="20"/>
                <w:szCs w:val="20"/>
                <w:lang w:val="uk-UA"/>
              </w:rPr>
            </w:pPr>
            <w:r>
              <w:rPr>
                <w:sz w:val="20"/>
                <w:szCs w:val="20"/>
                <w:lang w:val="uk-UA"/>
              </w:rPr>
              <w:t>3582</w:t>
            </w:r>
          </w:p>
        </w:tc>
        <w:tc>
          <w:tcPr>
            <w:tcW w:w="1035" w:type="dxa"/>
            <w:shd w:val="clear" w:color="auto" w:fill="auto"/>
            <w:vAlign w:val="center"/>
          </w:tcPr>
          <w:p w:rsidR="00EB1D05" w:rsidRDefault="00160C84" w:rsidP="00C91C33">
            <w:pPr>
              <w:autoSpaceDE w:val="0"/>
              <w:autoSpaceDN w:val="0"/>
              <w:adjustRightInd w:val="0"/>
              <w:spacing w:after="60" w:line="276" w:lineRule="auto"/>
              <w:jc w:val="center"/>
              <w:rPr>
                <w:sz w:val="20"/>
                <w:szCs w:val="20"/>
                <w:lang w:val="uk-UA"/>
              </w:rPr>
            </w:pPr>
            <w:r>
              <w:rPr>
                <w:sz w:val="20"/>
                <w:szCs w:val="20"/>
                <w:lang w:val="uk-UA"/>
              </w:rPr>
              <w:t>5749</w:t>
            </w:r>
          </w:p>
        </w:tc>
        <w:tc>
          <w:tcPr>
            <w:tcW w:w="916" w:type="dxa"/>
            <w:shd w:val="clear" w:color="auto" w:fill="auto"/>
            <w:vAlign w:val="center"/>
          </w:tcPr>
          <w:p w:rsidR="00EB1D05" w:rsidRDefault="00160C84" w:rsidP="00C91C33">
            <w:pPr>
              <w:autoSpaceDE w:val="0"/>
              <w:autoSpaceDN w:val="0"/>
              <w:adjustRightInd w:val="0"/>
              <w:spacing w:after="60" w:line="276" w:lineRule="auto"/>
              <w:jc w:val="center"/>
              <w:rPr>
                <w:sz w:val="20"/>
                <w:szCs w:val="20"/>
                <w:lang w:val="uk-UA"/>
              </w:rPr>
            </w:pPr>
            <w:r>
              <w:rPr>
                <w:sz w:val="20"/>
                <w:szCs w:val="20"/>
                <w:lang w:val="uk-UA"/>
              </w:rPr>
              <w:t>3582</w:t>
            </w:r>
          </w:p>
        </w:tc>
        <w:tc>
          <w:tcPr>
            <w:tcW w:w="1093" w:type="dxa"/>
            <w:shd w:val="clear" w:color="auto" w:fill="auto"/>
            <w:vAlign w:val="center"/>
          </w:tcPr>
          <w:p w:rsidR="00EB1D05" w:rsidRDefault="00160C84" w:rsidP="00C91C33">
            <w:pPr>
              <w:autoSpaceDE w:val="0"/>
              <w:autoSpaceDN w:val="0"/>
              <w:adjustRightInd w:val="0"/>
              <w:spacing w:after="60" w:line="276" w:lineRule="auto"/>
              <w:jc w:val="center"/>
              <w:rPr>
                <w:sz w:val="20"/>
                <w:szCs w:val="20"/>
                <w:lang w:val="uk-UA"/>
              </w:rPr>
            </w:pPr>
            <w:r>
              <w:rPr>
                <w:sz w:val="20"/>
                <w:szCs w:val="20"/>
                <w:lang w:val="uk-UA"/>
              </w:rPr>
              <w:t>5749</w:t>
            </w:r>
          </w:p>
        </w:tc>
      </w:tr>
      <w:tr w:rsidR="006D74C7" w:rsidRPr="00C91C33" w:rsidTr="005C1F71">
        <w:tc>
          <w:tcPr>
            <w:tcW w:w="1901" w:type="dxa"/>
            <w:shd w:val="clear" w:color="auto" w:fill="auto"/>
          </w:tcPr>
          <w:p w:rsidR="006D74C7" w:rsidRDefault="006D74C7" w:rsidP="00DC296D">
            <w:pPr>
              <w:autoSpaceDE w:val="0"/>
              <w:autoSpaceDN w:val="0"/>
              <w:adjustRightInd w:val="0"/>
              <w:spacing w:after="60" w:line="276" w:lineRule="auto"/>
              <w:rPr>
                <w:sz w:val="20"/>
                <w:szCs w:val="20"/>
                <w:lang w:val="uk-UA"/>
              </w:rPr>
            </w:pPr>
            <w:r>
              <w:rPr>
                <w:sz w:val="20"/>
                <w:szCs w:val="20"/>
                <w:lang w:val="uk-UA"/>
              </w:rPr>
              <w:t>Грошові кошти ті їх еквіваленти</w:t>
            </w:r>
          </w:p>
        </w:tc>
        <w:tc>
          <w:tcPr>
            <w:tcW w:w="941" w:type="dxa"/>
            <w:shd w:val="clear" w:color="auto" w:fill="auto"/>
            <w:vAlign w:val="center"/>
          </w:tcPr>
          <w:p w:rsidR="006D74C7" w:rsidRDefault="006D74C7" w:rsidP="00C91C33">
            <w:pPr>
              <w:spacing w:line="276" w:lineRule="auto"/>
              <w:jc w:val="center"/>
              <w:rPr>
                <w:sz w:val="20"/>
                <w:szCs w:val="20"/>
                <w:lang w:val="uk-UA"/>
              </w:rPr>
            </w:pPr>
            <w:r>
              <w:rPr>
                <w:sz w:val="20"/>
                <w:szCs w:val="20"/>
                <w:lang w:val="uk-UA"/>
              </w:rPr>
              <w:t>-</w:t>
            </w:r>
          </w:p>
        </w:tc>
        <w:tc>
          <w:tcPr>
            <w:tcW w:w="942" w:type="dxa"/>
            <w:shd w:val="clear" w:color="auto" w:fill="auto"/>
            <w:vAlign w:val="center"/>
          </w:tcPr>
          <w:p w:rsidR="006D74C7" w:rsidRDefault="006D74C7" w:rsidP="00C91C33">
            <w:pPr>
              <w:spacing w:line="276" w:lineRule="auto"/>
              <w:jc w:val="center"/>
              <w:rPr>
                <w:sz w:val="20"/>
                <w:szCs w:val="20"/>
                <w:lang w:val="uk-UA"/>
              </w:rPr>
            </w:pPr>
            <w:r>
              <w:rPr>
                <w:sz w:val="20"/>
                <w:szCs w:val="20"/>
                <w:lang w:val="uk-UA"/>
              </w:rPr>
              <w:t>-</w:t>
            </w:r>
          </w:p>
        </w:tc>
        <w:tc>
          <w:tcPr>
            <w:tcW w:w="942" w:type="dxa"/>
            <w:shd w:val="clear" w:color="auto" w:fill="auto"/>
            <w:vAlign w:val="center"/>
          </w:tcPr>
          <w:p w:rsidR="006D74C7" w:rsidRDefault="00CA0319" w:rsidP="004A2434">
            <w:pPr>
              <w:autoSpaceDE w:val="0"/>
              <w:autoSpaceDN w:val="0"/>
              <w:adjustRightInd w:val="0"/>
              <w:spacing w:after="60" w:line="276" w:lineRule="auto"/>
              <w:jc w:val="center"/>
              <w:rPr>
                <w:sz w:val="20"/>
                <w:szCs w:val="20"/>
                <w:lang w:val="uk-UA"/>
              </w:rPr>
            </w:pPr>
            <w:r>
              <w:rPr>
                <w:sz w:val="20"/>
                <w:szCs w:val="20"/>
                <w:lang w:val="uk-UA"/>
              </w:rPr>
              <w:t>185</w:t>
            </w:r>
          </w:p>
        </w:tc>
        <w:tc>
          <w:tcPr>
            <w:tcW w:w="942" w:type="dxa"/>
            <w:shd w:val="clear" w:color="auto" w:fill="auto"/>
            <w:vAlign w:val="center"/>
          </w:tcPr>
          <w:p w:rsidR="006D74C7" w:rsidRDefault="00CA0319" w:rsidP="004A2434">
            <w:pPr>
              <w:autoSpaceDE w:val="0"/>
              <w:autoSpaceDN w:val="0"/>
              <w:adjustRightInd w:val="0"/>
              <w:spacing w:after="60" w:line="276" w:lineRule="auto"/>
              <w:jc w:val="center"/>
              <w:rPr>
                <w:sz w:val="20"/>
                <w:szCs w:val="20"/>
                <w:lang w:val="uk-UA"/>
              </w:rPr>
            </w:pPr>
            <w:r>
              <w:rPr>
                <w:sz w:val="20"/>
                <w:szCs w:val="20"/>
                <w:lang w:val="uk-UA"/>
              </w:rPr>
              <w:t>197</w:t>
            </w:r>
          </w:p>
        </w:tc>
        <w:tc>
          <w:tcPr>
            <w:tcW w:w="1035" w:type="dxa"/>
            <w:shd w:val="clear" w:color="auto" w:fill="auto"/>
            <w:vAlign w:val="center"/>
          </w:tcPr>
          <w:p w:rsidR="006D74C7" w:rsidRDefault="006D74C7" w:rsidP="00C91C33">
            <w:pPr>
              <w:autoSpaceDE w:val="0"/>
              <w:autoSpaceDN w:val="0"/>
              <w:adjustRightInd w:val="0"/>
              <w:spacing w:after="60" w:line="276" w:lineRule="auto"/>
              <w:jc w:val="center"/>
              <w:rPr>
                <w:sz w:val="20"/>
                <w:szCs w:val="20"/>
                <w:lang w:val="uk-UA"/>
              </w:rPr>
            </w:pPr>
            <w:r>
              <w:rPr>
                <w:sz w:val="20"/>
                <w:szCs w:val="20"/>
                <w:lang w:val="uk-UA"/>
              </w:rPr>
              <w:t>-</w:t>
            </w:r>
          </w:p>
        </w:tc>
        <w:tc>
          <w:tcPr>
            <w:tcW w:w="1035" w:type="dxa"/>
            <w:shd w:val="clear" w:color="auto" w:fill="auto"/>
            <w:vAlign w:val="center"/>
          </w:tcPr>
          <w:p w:rsidR="006D74C7" w:rsidRDefault="006D74C7" w:rsidP="00C91C33">
            <w:pPr>
              <w:autoSpaceDE w:val="0"/>
              <w:autoSpaceDN w:val="0"/>
              <w:adjustRightInd w:val="0"/>
              <w:spacing w:after="60" w:line="276" w:lineRule="auto"/>
              <w:jc w:val="center"/>
              <w:rPr>
                <w:sz w:val="20"/>
                <w:szCs w:val="20"/>
                <w:lang w:val="uk-UA"/>
              </w:rPr>
            </w:pPr>
            <w:r>
              <w:rPr>
                <w:sz w:val="20"/>
                <w:szCs w:val="20"/>
                <w:lang w:val="uk-UA"/>
              </w:rPr>
              <w:t>-</w:t>
            </w:r>
          </w:p>
        </w:tc>
        <w:tc>
          <w:tcPr>
            <w:tcW w:w="916" w:type="dxa"/>
            <w:shd w:val="clear" w:color="auto" w:fill="auto"/>
            <w:vAlign w:val="center"/>
          </w:tcPr>
          <w:p w:rsidR="006D74C7" w:rsidRDefault="00CA0319" w:rsidP="00C91C33">
            <w:pPr>
              <w:autoSpaceDE w:val="0"/>
              <w:autoSpaceDN w:val="0"/>
              <w:adjustRightInd w:val="0"/>
              <w:spacing w:after="60" w:line="276" w:lineRule="auto"/>
              <w:jc w:val="center"/>
              <w:rPr>
                <w:sz w:val="20"/>
                <w:szCs w:val="20"/>
                <w:lang w:val="uk-UA"/>
              </w:rPr>
            </w:pPr>
            <w:r>
              <w:rPr>
                <w:sz w:val="20"/>
                <w:szCs w:val="20"/>
                <w:lang w:val="uk-UA"/>
              </w:rPr>
              <w:t>185</w:t>
            </w:r>
          </w:p>
        </w:tc>
        <w:tc>
          <w:tcPr>
            <w:tcW w:w="1093" w:type="dxa"/>
            <w:shd w:val="clear" w:color="auto" w:fill="auto"/>
            <w:vAlign w:val="center"/>
          </w:tcPr>
          <w:p w:rsidR="006D74C7" w:rsidRDefault="00CA0319" w:rsidP="00C91C33">
            <w:pPr>
              <w:autoSpaceDE w:val="0"/>
              <w:autoSpaceDN w:val="0"/>
              <w:adjustRightInd w:val="0"/>
              <w:spacing w:after="60" w:line="276" w:lineRule="auto"/>
              <w:jc w:val="center"/>
              <w:rPr>
                <w:sz w:val="20"/>
                <w:szCs w:val="20"/>
                <w:lang w:val="uk-UA"/>
              </w:rPr>
            </w:pPr>
            <w:r>
              <w:rPr>
                <w:sz w:val="20"/>
                <w:szCs w:val="20"/>
                <w:lang w:val="uk-UA"/>
              </w:rPr>
              <w:t>197</w:t>
            </w:r>
          </w:p>
        </w:tc>
      </w:tr>
    </w:tbl>
    <w:p w:rsidR="00A02CF8" w:rsidRDefault="00A02CF8" w:rsidP="00C429BC">
      <w:pPr>
        <w:ind w:firstLine="540"/>
        <w:jc w:val="both"/>
        <w:rPr>
          <w:b/>
          <w:lang w:val="uk-UA"/>
        </w:rPr>
      </w:pPr>
    </w:p>
    <w:p w:rsidR="00C91C33" w:rsidRDefault="00C057FA" w:rsidP="00FF6B50">
      <w:pPr>
        <w:ind w:firstLine="397"/>
        <w:jc w:val="both"/>
        <w:rPr>
          <w:b/>
          <w:bCs/>
          <w:spacing w:val="-2"/>
          <w:lang w:val="uk-UA"/>
        </w:rPr>
      </w:pPr>
      <w:r>
        <w:rPr>
          <w:b/>
          <w:lang w:val="uk-UA"/>
        </w:rPr>
        <w:t xml:space="preserve">5.4. </w:t>
      </w:r>
      <w:r w:rsidRPr="00C712BF">
        <w:rPr>
          <w:b/>
          <w:bCs/>
          <w:spacing w:val="-2"/>
          <w:lang w:val="uk-UA"/>
        </w:rPr>
        <w:t>Переміщення між 1-м та 2-м рівнями ієрархії справедливої вартості</w:t>
      </w:r>
    </w:p>
    <w:p w:rsidR="00C057FA" w:rsidRDefault="00C057FA" w:rsidP="00C429BC">
      <w:pPr>
        <w:ind w:firstLine="540"/>
        <w:jc w:val="both"/>
        <w:rPr>
          <w:b/>
          <w:lang w:val="uk-UA"/>
        </w:rPr>
      </w:pPr>
    </w:p>
    <w:p w:rsidR="00C057FA" w:rsidRPr="00C712BF" w:rsidRDefault="00C057FA" w:rsidP="00C057FA">
      <w:pPr>
        <w:shd w:val="clear" w:color="auto" w:fill="FFFFFF"/>
        <w:autoSpaceDE w:val="0"/>
        <w:autoSpaceDN w:val="0"/>
        <w:adjustRightInd w:val="0"/>
        <w:spacing w:after="60" w:line="276" w:lineRule="auto"/>
        <w:ind w:firstLine="397"/>
        <w:jc w:val="both"/>
        <w:rPr>
          <w:lang w:val="uk-UA"/>
        </w:rPr>
      </w:pPr>
      <w:r w:rsidRPr="00C712BF">
        <w:rPr>
          <w:lang w:val="uk-UA"/>
        </w:rPr>
        <w:t>У 20</w:t>
      </w:r>
      <w:r w:rsidR="00FA7F72">
        <w:rPr>
          <w:lang w:val="uk-UA"/>
        </w:rPr>
        <w:t>20</w:t>
      </w:r>
      <w:r w:rsidRPr="00C712BF">
        <w:rPr>
          <w:lang w:val="uk-UA"/>
        </w:rPr>
        <w:t xml:space="preserve"> та 20</w:t>
      </w:r>
      <w:r w:rsidR="00642CA2">
        <w:rPr>
          <w:lang w:val="uk-UA"/>
        </w:rPr>
        <w:t>2</w:t>
      </w:r>
      <w:r w:rsidR="00FA7F72">
        <w:rPr>
          <w:lang w:val="uk-UA"/>
        </w:rPr>
        <w:t>1</w:t>
      </w:r>
      <w:r w:rsidRPr="00C712BF">
        <w:rPr>
          <w:lang w:val="uk-UA"/>
        </w:rPr>
        <w:t xml:space="preserve"> роках переведень між рівнями ієрархії не було.</w:t>
      </w:r>
    </w:p>
    <w:p w:rsidR="00DC296D" w:rsidRDefault="00DC296D" w:rsidP="00DC296D">
      <w:pPr>
        <w:shd w:val="clear" w:color="auto" w:fill="FFFFFF"/>
        <w:spacing w:before="120" w:after="120"/>
        <w:ind w:firstLine="397"/>
        <w:rPr>
          <w:b/>
          <w:bCs/>
          <w:spacing w:val="-2"/>
          <w:lang w:val="uk-UA"/>
        </w:rPr>
      </w:pPr>
      <w:r>
        <w:rPr>
          <w:b/>
          <w:lang w:val="uk-UA"/>
        </w:rPr>
        <w:t xml:space="preserve">5.5. </w:t>
      </w:r>
      <w:r w:rsidRPr="0062564D">
        <w:rPr>
          <w:b/>
          <w:bCs/>
          <w:spacing w:val="-2"/>
          <w:lang w:val="uk-UA"/>
        </w:rPr>
        <w:t>Рух активів, що оцінюються за справедливою вартістю з використанням вхідних даних 3-го рівня ієрархії</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00"/>
        <w:gridCol w:w="1690"/>
        <w:gridCol w:w="2318"/>
        <w:gridCol w:w="1744"/>
        <w:gridCol w:w="1718"/>
      </w:tblGrid>
      <w:tr w:rsidR="00DC296D" w:rsidRPr="00FA7F72" w:rsidTr="00FA7F72">
        <w:tc>
          <w:tcPr>
            <w:tcW w:w="2100" w:type="dxa"/>
            <w:shd w:val="clear" w:color="auto" w:fill="auto"/>
          </w:tcPr>
          <w:p w:rsidR="00DC296D" w:rsidRPr="00FA7F72" w:rsidRDefault="00DC296D" w:rsidP="00DC296D">
            <w:pPr>
              <w:autoSpaceDE w:val="0"/>
              <w:autoSpaceDN w:val="0"/>
              <w:adjustRightInd w:val="0"/>
              <w:jc w:val="center"/>
              <w:rPr>
                <w:lang w:val="uk-UA"/>
              </w:rPr>
            </w:pPr>
            <w:r w:rsidRPr="00FA7F72">
              <w:rPr>
                <w:rFonts w:eastAsia="Calibri"/>
                <w:bCs/>
                <w:lang w:val="uk-UA" w:eastAsia="uk-UA"/>
              </w:rPr>
              <w:t>Класи активів, оцінених за справедливою вартістю з використанням 3-го рівня ієрархії</w:t>
            </w:r>
          </w:p>
        </w:tc>
        <w:tc>
          <w:tcPr>
            <w:tcW w:w="1690" w:type="dxa"/>
            <w:shd w:val="clear" w:color="auto" w:fill="auto"/>
          </w:tcPr>
          <w:p w:rsidR="00DC296D" w:rsidRPr="00FA7F72" w:rsidRDefault="00DC296D" w:rsidP="00BC0BF4">
            <w:pPr>
              <w:autoSpaceDE w:val="0"/>
              <w:autoSpaceDN w:val="0"/>
              <w:adjustRightInd w:val="0"/>
              <w:jc w:val="center"/>
              <w:rPr>
                <w:lang w:val="uk-UA"/>
              </w:rPr>
            </w:pPr>
            <w:r w:rsidRPr="00FA7F72">
              <w:rPr>
                <w:rFonts w:eastAsia="Calibri"/>
                <w:bCs/>
                <w:lang w:val="uk-UA" w:eastAsia="uk-UA"/>
              </w:rPr>
              <w:t>Залишки станом на 31.12.20</w:t>
            </w:r>
            <w:r w:rsidR="00823E36" w:rsidRPr="00FA7F72">
              <w:rPr>
                <w:rFonts w:eastAsia="Calibri"/>
                <w:bCs/>
                <w:lang w:val="uk-UA" w:eastAsia="uk-UA"/>
              </w:rPr>
              <w:t>20</w:t>
            </w:r>
            <w:r w:rsidRPr="00FA7F72">
              <w:rPr>
                <w:rFonts w:eastAsia="Calibri"/>
                <w:bCs/>
                <w:lang w:val="uk-UA" w:eastAsia="uk-UA"/>
              </w:rPr>
              <w:t xml:space="preserve"> р.</w:t>
            </w:r>
          </w:p>
        </w:tc>
        <w:tc>
          <w:tcPr>
            <w:tcW w:w="2318" w:type="dxa"/>
            <w:shd w:val="clear" w:color="auto" w:fill="auto"/>
          </w:tcPr>
          <w:p w:rsidR="00DC296D" w:rsidRPr="00FA7F72" w:rsidRDefault="00DC296D" w:rsidP="00DC296D">
            <w:pPr>
              <w:autoSpaceDE w:val="0"/>
              <w:autoSpaceDN w:val="0"/>
              <w:adjustRightInd w:val="0"/>
              <w:jc w:val="center"/>
              <w:rPr>
                <w:lang w:val="uk-UA"/>
              </w:rPr>
            </w:pPr>
            <w:r w:rsidRPr="00FA7F72">
              <w:rPr>
                <w:rFonts w:eastAsia="Calibri"/>
                <w:bCs/>
                <w:lang w:val="uk-UA" w:eastAsia="uk-UA"/>
              </w:rPr>
              <w:t>Придбання (продаж\погашення)</w:t>
            </w:r>
          </w:p>
        </w:tc>
        <w:tc>
          <w:tcPr>
            <w:tcW w:w="1744" w:type="dxa"/>
            <w:shd w:val="clear" w:color="auto" w:fill="auto"/>
          </w:tcPr>
          <w:p w:rsidR="00DC296D" w:rsidRPr="00FA7F72" w:rsidRDefault="00DC296D" w:rsidP="00BC0BF4">
            <w:pPr>
              <w:autoSpaceDE w:val="0"/>
              <w:autoSpaceDN w:val="0"/>
              <w:adjustRightInd w:val="0"/>
              <w:jc w:val="center"/>
              <w:rPr>
                <w:lang w:val="uk-UA"/>
              </w:rPr>
            </w:pPr>
            <w:r w:rsidRPr="00FA7F72">
              <w:rPr>
                <w:rFonts w:eastAsia="Calibri"/>
                <w:bCs/>
                <w:lang w:val="uk-UA" w:eastAsia="uk-UA"/>
              </w:rPr>
              <w:t>Залишки станом на 31.12.20</w:t>
            </w:r>
            <w:r w:rsidR="00BC0BF4" w:rsidRPr="00FA7F72">
              <w:rPr>
                <w:rFonts w:eastAsia="Calibri"/>
                <w:bCs/>
                <w:lang w:val="uk-UA" w:eastAsia="uk-UA"/>
              </w:rPr>
              <w:t>2</w:t>
            </w:r>
            <w:r w:rsidR="00823E36" w:rsidRPr="00FA7F72">
              <w:rPr>
                <w:rFonts w:eastAsia="Calibri"/>
                <w:bCs/>
                <w:lang w:val="uk-UA" w:eastAsia="uk-UA"/>
              </w:rPr>
              <w:t>1</w:t>
            </w:r>
            <w:r w:rsidRPr="00FA7F72">
              <w:rPr>
                <w:rFonts w:eastAsia="Calibri"/>
                <w:bCs/>
                <w:lang w:val="uk-UA" w:eastAsia="uk-UA"/>
              </w:rPr>
              <w:t xml:space="preserve"> р.</w:t>
            </w:r>
          </w:p>
        </w:tc>
        <w:tc>
          <w:tcPr>
            <w:tcW w:w="1718" w:type="dxa"/>
            <w:shd w:val="clear" w:color="auto" w:fill="auto"/>
          </w:tcPr>
          <w:p w:rsidR="00DC296D" w:rsidRPr="00FA7F72" w:rsidRDefault="00DC296D" w:rsidP="00DC296D">
            <w:pPr>
              <w:autoSpaceDE w:val="0"/>
              <w:autoSpaceDN w:val="0"/>
              <w:adjustRightInd w:val="0"/>
              <w:jc w:val="center"/>
              <w:rPr>
                <w:rFonts w:eastAsia="Calibri"/>
                <w:bCs/>
                <w:lang w:val="uk-UA" w:eastAsia="uk-UA"/>
              </w:rPr>
            </w:pPr>
            <w:r w:rsidRPr="00FA7F72">
              <w:rPr>
                <w:rFonts w:eastAsia="Calibri"/>
                <w:bCs/>
                <w:lang w:val="uk-UA" w:eastAsia="uk-UA"/>
              </w:rPr>
              <w:t>Стаття (статті) у прибутку або збитку, у якій прибутки або збитки визнані</w:t>
            </w:r>
          </w:p>
        </w:tc>
      </w:tr>
      <w:tr w:rsidR="00DC296D" w:rsidRPr="00FA7F72" w:rsidTr="00FA7F72">
        <w:tc>
          <w:tcPr>
            <w:tcW w:w="2100" w:type="dxa"/>
            <w:shd w:val="clear" w:color="auto" w:fill="auto"/>
          </w:tcPr>
          <w:p w:rsidR="00DC296D" w:rsidRPr="00FA7F72" w:rsidRDefault="00BC0BF4" w:rsidP="00FC7D78">
            <w:pPr>
              <w:autoSpaceDE w:val="0"/>
              <w:autoSpaceDN w:val="0"/>
              <w:adjustRightInd w:val="0"/>
              <w:spacing w:after="60" w:line="276" w:lineRule="auto"/>
              <w:rPr>
                <w:sz w:val="20"/>
                <w:szCs w:val="20"/>
                <w:lang w:val="uk-UA"/>
              </w:rPr>
            </w:pPr>
            <w:r w:rsidRPr="00FA7F72">
              <w:rPr>
                <w:sz w:val="20"/>
                <w:szCs w:val="20"/>
                <w:lang w:val="uk-UA"/>
              </w:rPr>
              <w:t>Довгострокові фінансові інвестиції: інші фінансові інвестиції</w:t>
            </w:r>
          </w:p>
        </w:tc>
        <w:tc>
          <w:tcPr>
            <w:tcW w:w="1690" w:type="dxa"/>
            <w:shd w:val="clear" w:color="auto" w:fill="auto"/>
            <w:vAlign w:val="center"/>
          </w:tcPr>
          <w:p w:rsidR="00DC296D" w:rsidRPr="00FA7F72" w:rsidRDefault="00DC296D" w:rsidP="00DC296D">
            <w:pPr>
              <w:autoSpaceDE w:val="0"/>
              <w:autoSpaceDN w:val="0"/>
              <w:adjustRightInd w:val="0"/>
              <w:spacing w:after="60"/>
              <w:jc w:val="center"/>
              <w:rPr>
                <w:lang w:val="uk-UA"/>
              </w:rPr>
            </w:pPr>
          </w:p>
        </w:tc>
        <w:tc>
          <w:tcPr>
            <w:tcW w:w="2318" w:type="dxa"/>
            <w:shd w:val="clear" w:color="auto" w:fill="auto"/>
            <w:vAlign w:val="center"/>
          </w:tcPr>
          <w:p w:rsidR="00DC296D" w:rsidRPr="00FA7F72" w:rsidRDefault="00BC0BF4" w:rsidP="00DC296D">
            <w:pPr>
              <w:autoSpaceDE w:val="0"/>
              <w:autoSpaceDN w:val="0"/>
              <w:adjustRightInd w:val="0"/>
              <w:spacing w:after="60"/>
              <w:jc w:val="center"/>
              <w:rPr>
                <w:lang w:val="uk-UA"/>
              </w:rPr>
            </w:pPr>
            <w:r w:rsidRPr="00FA7F72">
              <w:rPr>
                <w:lang w:val="uk-UA"/>
              </w:rPr>
              <w:t>-</w:t>
            </w:r>
          </w:p>
        </w:tc>
        <w:tc>
          <w:tcPr>
            <w:tcW w:w="1744" w:type="dxa"/>
            <w:shd w:val="clear" w:color="auto" w:fill="auto"/>
            <w:vAlign w:val="center"/>
          </w:tcPr>
          <w:p w:rsidR="00DC296D" w:rsidRPr="00FA7F72" w:rsidRDefault="00DC296D" w:rsidP="00DC296D">
            <w:pPr>
              <w:autoSpaceDE w:val="0"/>
              <w:autoSpaceDN w:val="0"/>
              <w:adjustRightInd w:val="0"/>
              <w:spacing w:after="60"/>
              <w:jc w:val="center"/>
              <w:rPr>
                <w:lang w:val="uk-UA"/>
              </w:rPr>
            </w:pPr>
          </w:p>
        </w:tc>
        <w:tc>
          <w:tcPr>
            <w:tcW w:w="1718" w:type="dxa"/>
            <w:shd w:val="clear" w:color="auto" w:fill="auto"/>
            <w:vAlign w:val="center"/>
          </w:tcPr>
          <w:p w:rsidR="00DC296D" w:rsidRPr="00FA7F72" w:rsidRDefault="00DC296D" w:rsidP="00DC296D">
            <w:pPr>
              <w:autoSpaceDE w:val="0"/>
              <w:autoSpaceDN w:val="0"/>
              <w:adjustRightInd w:val="0"/>
              <w:spacing w:after="60"/>
              <w:jc w:val="center"/>
              <w:rPr>
                <w:lang w:val="uk-UA"/>
              </w:rPr>
            </w:pPr>
            <w:r w:rsidRPr="00FA7F72">
              <w:rPr>
                <w:lang w:val="uk-UA"/>
              </w:rPr>
              <w:t>-</w:t>
            </w:r>
          </w:p>
        </w:tc>
      </w:tr>
      <w:tr w:rsidR="00BC0BF4" w:rsidRPr="00FA7F72" w:rsidTr="00FA7F72">
        <w:tc>
          <w:tcPr>
            <w:tcW w:w="2100" w:type="dxa"/>
            <w:shd w:val="clear" w:color="auto" w:fill="auto"/>
          </w:tcPr>
          <w:p w:rsidR="00BC0BF4" w:rsidRPr="00FA7F72" w:rsidRDefault="00BC0BF4" w:rsidP="00FC7D78">
            <w:pPr>
              <w:autoSpaceDE w:val="0"/>
              <w:autoSpaceDN w:val="0"/>
              <w:adjustRightInd w:val="0"/>
              <w:spacing w:after="60" w:line="276" w:lineRule="auto"/>
              <w:rPr>
                <w:sz w:val="20"/>
                <w:szCs w:val="20"/>
                <w:lang w:val="uk-UA"/>
              </w:rPr>
            </w:pPr>
            <w:r w:rsidRPr="00FA7F72">
              <w:rPr>
                <w:sz w:val="20"/>
                <w:szCs w:val="20"/>
                <w:lang w:val="uk-UA"/>
              </w:rPr>
              <w:t>Дебіторська заборгованість за продукцію, товари, роботи, послуги</w:t>
            </w:r>
          </w:p>
        </w:tc>
        <w:tc>
          <w:tcPr>
            <w:tcW w:w="1690" w:type="dxa"/>
            <w:shd w:val="clear" w:color="auto" w:fill="auto"/>
            <w:vAlign w:val="center"/>
          </w:tcPr>
          <w:p w:rsidR="00BC0BF4" w:rsidRPr="00FA7F72" w:rsidRDefault="00CA0319" w:rsidP="00DC296D">
            <w:pPr>
              <w:autoSpaceDE w:val="0"/>
              <w:autoSpaceDN w:val="0"/>
              <w:adjustRightInd w:val="0"/>
              <w:spacing w:after="60"/>
              <w:jc w:val="center"/>
              <w:rPr>
                <w:lang w:val="uk-UA"/>
              </w:rPr>
            </w:pPr>
            <w:r>
              <w:rPr>
                <w:lang w:val="uk-UA"/>
              </w:rPr>
              <w:t>211</w:t>
            </w:r>
          </w:p>
        </w:tc>
        <w:tc>
          <w:tcPr>
            <w:tcW w:w="2318" w:type="dxa"/>
            <w:shd w:val="clear" w:color="auto" w:fill="auto"/>
            <w:vAlign w:val="center"/>
          </w:tcPr>
          <w:p w:rsidR="00BC0BF4" w:rsidRPr="00FA7F72" w:rsidRDefault="00165F5F" w:rsidP="00DC296D">
            <w:pPr>
              <w:autoSpaceDE w:val="0"/>
              <w:autoSpaceDN w:val="0"/>
              <w:adjustRightInd w:val="0"/>
              <w:spacing w:after="60"/>
              <w:jc w:val="center"/>
              <w:rPr>
                <w:lang w:val="uk-UA"/>
              </w:rPr>
            </w:pPr>
            <w:r w:rsidRPr="00FA7F72">
              <w:rPr>
                <w:lang w:val="uk-UA"/>
              </w:rPr>
              <w:t>-</w:t>
            </w:r>
            <w:r w:rsidR="00CA0319">
              <w:rPr>
                <w:lang w:val="uk-UA"/>
              </w:rPr>
              <w:t>209</w:t>
            </w:r>
          </w:p>
        </w:tc>
        <w:tc>
          <w:tcPr>
            <w:tcW w:w="1744" w:type="dxa"/>
            <w:shd w:val="clear" w:color="auto" w:fill="auto"/>
            <w:vAlign w:val="center"/>
          </w:tcPr>
          <w:p w:rsidR="00BC0BF4" w:rsidRPr="00FA7F72" w:rsidRDefault="00CA0319" w:rsidP="00DC296D">
            <w:pPr>
              <w:autoSpaceDE w:val="0"/>
              <w:autoSpaceDN w:val="0"/>
              <w:adjustRightInd w:val="0"/>
              <w:spacing w:after="60"/>
              <w:jc w:val="center"/>
              <w:rPr>
                <w:lang w:val="uk-UA"/>
              </w:rPr>
            </w:pPr>
            <w:r>
              <w:rPr>
                <w:lang w:val="uk-UA"/>
              </w:rPr>
              <w:t>2</w:t>
            </w:r>
          </w:p>
        </w:tc>
        <w:tc>
          <w:tcPr>
            <w:tcW w:w="1718" w:type="dxa"/>
            <w:shd w:val="clear" w:color="auto" w:fill="auto"/>
            <w:vAlign w:val="center"/>
          </w:tcPr>
          <w:p w:rsidR="00BC0BF4" w:rsidRPr="00FA7F72" w:rsidRDefault="00BC0BF4" w:rsidP="00DC296D">
            <w:pPr>
              <w:autoSpaceDE w:val="0"/>
              <w:autoSpaceDN w:val="0"/>
              <w:adjustRightInd w:val="0"/>
              <w:spacing w:after="60"/>
              <w:jc w:val="center"/>
              <w:rPr>
                <w:lang w:val="uk-UA"/>
              </w:rPr>
            </w:pPr>
            <w:r w:rsidRPr="00FA7F72">
              <w:rPr>
                <w:lang w:val="uk-UA"/>
              </w:rPr>
              <w:t>-</w:t>
            </w:r>
          </w:p>
        </w:tc>
      </w:tr>
      <w:tr w:rsidR="00BC0BF4" w:rsidRPr="00FA7F72" w:rsidTr="00FA7F72">
        <w:tc>
          <w:tcPr>
            <w:tcW w:w="2100" w:type="dxa"/>
            <w:shd w:val="clear" w:color="auto" w:fill="auto"/>
          </w:tcPr>
          <w:p w:rsidR="00BC0BF4" w:rsidRPr="00FA7F72" w:rsidRDefault="00BC0BF4" w:rsidP="00FC7D78">
            <w:pPr>
              <w:autoSpaceDE w:val="0"/>
              <w:autoSpaceDN w:val="0"/>
              <w:adjustRightInd w:val="0"/>
              <w:spacing w:after="60" w:line="276" w:lineRule="auto"/>
              <w:rPr>
                <w:sz w:val="20"/>
                <w:szCs w:val="20"/>
                <w:lang w:val="uk-UA"/>
              </w:rPr>
            </w:pPr>
            <w:r w:rsidRPr="00FA7F72">
              <w:rPr>
                <w:sz w:val="20"/>
                <w:szCs w:val="20"/>
                <w:lang w:val="uk-UA"/>
              </w:rPr>
              <w:t>Інша поточна дебіторська заборгованість</w:t>
            </w:r>
          </w:p>
        </w:tc>
        <w:tc>
          <w:tcPr>
            <w:tcW w:w="1690" w:type="dxa"/>
            <w:shd w:val="clear" w:color="auto" w:fill="auto"/>
            <w:vAlign w:val="center"/>
          </w:tcPr>
          <w:p w:rsidR="00BC0BF4" w:rsidRPr="00FA7F72" w:rsidRDefault="00160C84" w:rsidP="00DC296D">
            <w:pPr>
              <w:autoSpaceDE w:val="0"/>
              <w:autoSpaceDN w:val="0"/>
              <w:adjustRightInd w:val="0"/>
              <w:spacing w:after="60"/>
              <w:jc w:val="center"/>
              <w:rPr>
                <w:lang w:val="uk-UA"/>
              </w:rPr>
            </w:pPr>
            <w:r>
              <w:rPr>
                <w:lang w:val="uk-UA"/>
              </w:rPr>
              <w:t>3582</w:t>
            </w:r>
          </w:p>
        </w:tc>
        <w:tc>
          <w:tcPr>
            <w:tcW w:w="2318" w:type="dxa"/>
            <w:shd w:val="clear" w:color="auto" w:fill="auto"/>
            <w:vAlign w:val="center"/>
          </w:tcPr>
          <w:p w:rsidR="00BC0BF4" w:rsidRPr="00FA7F72" w:rsidRDefault="00160C84" w:rsidP="00DC296D">
            <w:pPr>
              <w:autoSpaceDE w:val="0"/>
              <w:autoSpaceDN w:val="0"/>
              <w:adjustRightInd w:val="0"/>
              <w:spacing w:after="60"/>
              <w:jc w:val="center"/>
              <w:rPr>
                <w:lang w:val="uk-UA"/>
              </w:rPr>
            </w:pPr>
            <w:r>
              <w:rPr>
                <w:lang w:val="uk-UA"/>
              </w:rPr>
              <w:t>2167</w:t>
            </w:r>
          </w:p>
        </w:tc>
        <w:tc>
          <w:tcPr>
            <w:tcW w:w="1744" w:type="dxa"/>
            <w:shd w:val="clear" w:color="auto" w:fill="auto"/>
            <w:vAlign w:val="center"/>
          </w:tcPr>
          <w:p w:rsidR="00BC0BF4" w:rsidRPr="00FA7F72" w:rsidRDefault="00160C84" w:rsidP="00DC296D">
            <w:pPr>
              <w:autoSpaceDE w:val="0"/>
              <w:autoSpaceDN w:val="0"/>
              <w:adjustRightInd w:val="0"/>
              <w:spacing w:after="60"/>
              <w:jc w:val="center"/>
              <w:rPr>
                <w:lang w:val="uk-UA"/>
              </w:rPr>
            </w:pPr>
            <w:r>
              <w:rPr>
                <w:lang w:val="uk-UA"/>
              </w:rPr>
              <w:t>5749</w:t>
            </w:r>
          </w:p>
        </w:tc>
        <w:tc>
          <w:tcPr>
            <w:tcW w:w="1718" w:type="dxa"/>
            <w:shd w:val="clear" w:color="auto" w:fill="auto"/>
            <w:vAlign w:val="center"/>
          </w:tcPr>
          <w:p w:rsidR="00BC0BF4" w:rsidRPr="00FA7F72" w:rsidRDefault="00BC0BF4" w:rsidP="00DC296D">
            <w:pPr>
              <w:autoSpaceDE w:val="0"/>
              <w:autoSpaceDN w:val="0"/>
              <w:adjustRightInd w:val="0"/>
              <w:spacing w:after="60"/>
              <w:jc w:val="center"/>
              <w:rPr>
                <w:lang w:val="uk-UA"/>
              </w:rPr>
            </w:pPr>
            <w:r w:rsidRPr="00FA7F72">
              <w:rPr>
                <w:lang w:val="uk-UA"/>
              </w:rPr>
              <w:t>-</w:t>
            </w:r>
          </w:p>
        </w:tc>
      </w:tr>
      <w:tr w:rsidR="00D873AC" w:rsidRPr="00DC296D" w:rsidTr="00FA7F72">
        <w:tc>
          <w:tcPr>
            <w:tcW w:w="2100" w:type="dxa"/>
            <w:shd w:val="clear" w:color="auto" w:fill="auto"/>
          </w:tcPr>
          <w:p w:rsidR="00D873AC" w:rsidRPr="00FA7F72" w:rsidRDefault="00D873AC" w:rsidP="00FC7D78">
            <w:pPr>
              <w:autoSpaceDE w:val="0"/>
              <w:autoSpaceDN w:val="0"/>
              <w:adjustRightInd w:val="0"/>
              <w:spacing w:after="60" w:line="276" w:lineRule="auto"/>
              <w:rPr>
                <w:sz w:val="20"/>
                <w:szCs w:val="20"/>
                <w:lang w:val="uk-UA"/>
              </w:rPr>
            </w:pPr>
            <w:r w:rsidRPr="00FA7F72">
              <w:rPr>
                <w:sz w:val="20"/>
                <w:szCs w:val="20"/>
                <w:lang w:val="uk-UA"/>
              </w:rPr>
              <w:t>Грошові кошти ті їх еквіваленти</w:t>
            </w:r>
          </w:p>
        </w:tc>
        <w:tc>
          <w:tcPr>
            <w:tcW w:w="1690" w:type="dxa"/>
            <w:shd w:val="clear" w:color="auto" w:fill="auto"/>
            <w:vAlign w:val="center"/>
          </w:tcPr>
          <w:p w:rsidR="00D873AC" w:rsidRPr="00FA7F72" w:rsidRDefault="00CA0319" w:rsidP="00DC296D">
            <w:pPr>
              <w:autoSpaceDE w:val="0"/>
              <w:autoSpaceDN w:val="0"/>
              <w:adjustRightInd w:val="0"/>
              <w:spacing w:after="60"/>
              <w:jc w:val="center"/>
              <w:rPr>
                <w:lang w:val="uk-UA"/>
              </w:rPr>
            </w:pPr>
            <w:r>
              <w:rPr>
                <w:lang w:val="uk-UA"/>
              </w:rPr>
              <w:t>185</w:t>
            </w:r>
          </w:p>
        </w:tc>
        <w:tc>
          <w:tcPr>
            <w:tcW w:w="2318" w:type="dxa"/>
            <w:shd w:val="clear" w:color="auto" w:fill="auto"/>
            <w:vAlign w:val="center"/>
          </w:tcPr>
          <w:p w:rsidR="00D873AC" w:rsidRPr="00FA7F72" w:rsidRDefault="009F653C" w:rsidP="00DC296D">
            <w:pPr>
              <w:autoSpaceDE w:val="0"/>
              <w:autoSpaceDN w:val="0"/>
              <w:adjustRightInd w:val="0"/>
              <w:spacing w:after="60"/>
              <w:jc w:val="center"/>
              <w:rPr>
                <w:lang w:val="uk-UA"/>
              </w:rPr>
            </w:pPr>
            <w:r w:rsidRPr="00FA7F72">
              <w:rPr>
                <w:lang w:val="uk-UA"/>
              </w:rPr>
              <w:t>1</w:t>
            </w:r>
            <w:r w:rsidR="00CA0319">
              <w:rPr>
                <w:lang w:val="uk-UA"/>
              </w:rPr>
              <w:t>2</w:t>
            </w:r>
          </w:p>
        </w:tc>
        <w:tc>
          <w:tcPr>
            <w:tcW w:w="1744" w:type="dxa"/>
            <w:shd w:val="clear" w:color="auto" w:fill="auto"/>
            <w:vAlign w:val="center"/>
          </w:tcPr>
          <w:p w:rsidR="00D873AC" w:rsidRPr="00FA7F72" w:rsidRDefault="00CA0319" w:rsidP="00DC296D">
            <w:pPr>
              <w:autoSpaceDE w:val="0"/>
              <w:autoSpaceDN w:val="0"/>
              <w:adjustRightInd w:val="0"/>
              <w:spacing w:after="60"/>
              <w:jc w:val="center"/>
              <w:rPr>
                <w:lang w:val="uk-UA"/>
              </w:rPr>
            </w:pPr>
            <w:r>
              <w:rPr>
                <w:lang w:val="uk-UA"/>
              </w:rPr>
              <w:t>197</w:t>
            </w:r>
          </w:p>
        </w:tc>
        <w:tc>
          <w:tcPr>
            <w:tcW w:w="1718" w:type="dxa"/>
            <w:shd w:val="clear" w:color="auto" w:fill="auto"/>
            <w:vAlign w:val="center"/>
          </w:tcPr>
          <w:p w:rsidR="00D873AC" w:rsidRDefault="00D873AC" w:rsidP="00DC296D">
            <w:pPr>
              <w:autoSpaceDE w:val="0"/>
              <w:autoSpaceDN w:val="0"/>
              <w:adjustRightInd w:val="0"/>
              <w:spacing w:after="60"/>
              <w:jc w:val="center"/>
              <w:rPr>
                <w:lang w:val="uk-UA"/>
              </w:rPr>
            </w:pPr>
            <w:r w:rsidRPr="00FA7F72">
              <w:rPr>
                <w:lang w:val="uk-UA"/>
              </w:rPr>
              <w:t>-</w:t>
            </w:r>
          </w:p>
        </w:tc>
      </w:tr>
    </w:tbl>
    <w:p w:rsidR="00307565" w:rsidRPr="00307565" w:rsidRDefault="00307565" w:rsidP="00FF6B50">
      <w:pPr>
        <w:shd w:val="clear" w:color="auto" w:fill="FFFFFF"/>
        <w:spacing w:before="120" w:after="120"/>
        <w:ind w:firstLine="708"/>
        <w:rPr>
          <w:b/>
          <w:bCs/>
          <w:spacing w:val="-2"/>
          <w:lang w:val="uk-UA"/>
        </w:rPr>
      </w:pPr>
      <w:r>
        <w:rPr>
          <w:b/>
          <w:bCs/>
          <w:spacing w:val="-2"/>
          <w:lang w:val="uk-UA"/>
        </w:rPr>
        <w:t xml:space="preserve">5.6. </w:t>
      </w:r>
      <w:r w:rsidRPr="00307565">
        <w:rPr>
          <w:b/>
          <w:bCs/>
          <w:spacing w:val="-2"/>
          <w:lang w:val="uk-UA"/>
        </w:rPr>
        <w:t>Інші розкриття, що вимагаються МСФЗ 13 «Оцінка справедливої вартості»</w:t>
      </w:r>
    </w:p>
    <w:p w:rsidR="00307565" w:rsidRPr="00307565" w:rsidRDefault="00307565" w:rsidP="00307565">
      <w:pPr>
        <w:shd w:val="clear" w:color="auto" w:fill="FFFFFF"/>
        <w:spacing w:before="240" w:line="276" w:lineRule="auto"/>
        <w:rPr>
          <w:b/>
          <w:lang w:val="uk-UA"/>
        </w:rPr>
      </w:pPr>
      <w:r w:rsidRPr="00307565">
        <w:rPr>
          <w:b/>
          <w:lang w:val="uk-UA"/>
        </w:rPr>
        <w:t>Справедлива  вартість фінансових інструментів в порівнянні з її балансовою вартістю</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888"/>
        <w:gridCol w:w="1260"/>
        <w:gridCol w:w="1481"/>
        <w:gridCol w:w="1399"/>
        <w:gridCol w:w="1578"/>
      </w:tblGrid>
      <w:tr w:rsidR="00307565" w:rsidRPr="00307565" w:rsidTr="00D8413B">
        <w:tc>
          <w:tcPr>
            <w:tcW w:w="3888" w:type="dxa"/>
            <w:vMerge w:val="restart"/>
            <w:shd w:val="clear" w:color="auto" w:fill="auto"/>
          </w:tcPr>
          <w:p w:rsidR="00307565" w:rsidRPr="00307565" w:rsidRDefault="00307565" w:rsidP="00307565">
            <w:pPr>
              <w:spacing w:before="240" w:line="276" w:lineRule="auto"/>
              <w:rPr>
                <w:sz w:val="25"/>
                <w:szCs w:val="25"/>
                <w:lang w:val="uk-UA"/>
              </w:rPr>
            </w:pPr>
          </w:p>
        </w:tc>
        <w:tc>
          <w:tcPr>
            <w:tcW w:w="2741" w:type="dxa"/>
            <w:gridSpan w:val="2"/>
            <w:shd w:val="clear" w:color="auto" w:fill="auto"/>
          </w:tcPr>
          <w:p w:rsidR="00307565" w:rsidRPr="00307565" w:rsidRDefault="00307565" w:rsidP="00307565">
            <w:pPr>
              <w:spacing w:before="240" w:line="276" w:lineRule="auto"/>
              <w:jc w:val="center"/>
              <w:rPr>
                <w:b/>
                <w:sz w:val="22"/>
                <w:szCs w:val="22"/>
                <w:lang w:val="uk-UA"/>
              </w:rPr>
            </w:pPr>
            <w:r w:rsidRPr="00307565">
              <w:rPr>
                <w:b/>
                <w:sz w:val="22"/>
                <w:szCs w:val="22"/>
                <w:lang w:val="uk-UA"/>
              </w:rPr>
              <w:t>Балансова  вартість</w:t>
            </w:r>
          </w:p>
        </w:tc>
        <w:tc>
          <w:tcPr>
            <w:tcW w:w="2977" w:type="dxa"/>
            <w:gridSpan w:val="2"/>
            <w:shd w:val="clear" w:color="auto" w:fill="auto"/>
          </w:tcPr>
          <w:p w:rsidR="00307565" w:rsidRPr="00307565" w:rsidRDefault="00307565" w:rsidP="00307565">
            <w:pPr>
              <w:spacing w:before="240" w:line="276" w:lineRule="auto"/>
              <w:jc w:val="center"/>
              <w:rPr>
                <w:b/>
                <w:sz w:val="22"/>
                <w:szCs w:val="22"/>
                <w:lang w:val="uk-UA"/>
              </w:rPr>
            </w:pPr>
            <w:r w:rsidRPr="00307565">
              <w:rPr>
                <w:b/>
                <w:sz w:val="22"/>
                <w:szCs w:val="22"/>
                <w:lang w:val="uk-UA"/>
              </w:rPr>
              <w:t>Справедлива вартість</w:t>
            </w:r>
          </w:p>
        </w:tc>
      </w:tr>
      <w:tr w:rsidR="00307565" w:rsidRPr="00307565" w:rsidTr="00D8413B">
        <w:trPr>
          <w:trHeight w:val="380"/>
        </w:trPr>
        <w:tc>
          <w:tcPr>
            <w:tcW w:w="3888" w:type="dxa"/>
            <w:vMerge/>
            <w:shd w:val="clear" w:color="auto" w:fill="auto"/>
          </w:tcPr>
          <w:p w:rsidR="00307565" w:rsidRPr="00307565" w:rsidRDefault="00307565" w:rsidP="00307565">
            <w:pPr>
              <w:spacing w:before="240" w:line="276" w:lineRule="auto"/>
              <w:rPr>
                <w:sz w:val="25"/>
                <w:szCs w:val="25"/>
                <w:lang w:val="uk-UA"/>
              </w:rPr>
            </w:pPr>
          </w:p>
        </w:tc>
        <w:tc>
          <w:tcPr>
            <w:tcW w:w="1260" w:type="dxa"/>
            <w:tcBorders>
              <w:bottom w:val="single" w:sz="4" w:space="0" w:color="auto"/>
            </w:tcBorders>
            <w:shd w:val="clear" w:color="auto" w:fill="auto"/>
          </w:tcPr>
          <w:p w:rsidR="00307565" w:rsidRPr="00307565" w:rsidRDefault="00307565" w:rsidP="00307565">
            <w:pPr>
              <w:spacing w:before="240" w:line="276" w:lineRule="auto"/>
              <w:jc w:val="center"/>
              <w:rPr>
                <w:b/>
                <w:sz w:val="22"/>
                <w:szCs w:val="22"/>
                <w:lang w:val="uk-UA"/>
              </w:rPr>
            </w:pPr>
            <w:r w:rsidRPr="00307565">
              <w:rPr>
                <w:b/>
                <w:sz w:val="22"/>
                <w:szCs w:val="22"/>
                <w:lang w:val="uk-UA"/>
              </w:rPr>
              <w:t>31.12.20</w:t>
            </w:r>
            <w:r w:rsidR="000E76BB">
              <w:rPr>
                <w:b/>
                <w:sz w:val="22"/>
                <w:szCs w:val="22"/>
                <w:lang w:val="uk-UA"/>
              </w:rPr>
              <w:t>20</w:t>
            </w:r>
          </w:p>
        </w:tc>
        <w:tc>
          <w:tcPr>
            <w:tcW w:w="1481" w:type="dxa"/>
            <w:tcBorders>
              <w:bottom w:val="single" w:sz="4" w:space="0" w:color="auto"/>
            </w:tcBorders>
            <w:shd w:val="clear" w:color="auto" w:fill="auto"/>
          </w:tcPr>
          <w:p w:rsidR="00307565" w:rsidRPr="00307565" w:rsidRDefault="00307565" w:rsidP="000A1DFF">
            <w:pPr>
              <w:spacing w:before="240" w:line="276" w:lineRule="auto"/>
              <w:jc w:val="center"/>
              <w:rPr>
                <w:b/>
                <w:sz w:val="22"/>
                <w:szCs w:val="22"/>
                <w:lang w:val="uk-UA"/>
              </w:rPr>
            </w:pPr>
            <w:r w:rsidRPr="00307565">
              <w:rPr>
                <w:b/>
                <w:sz w:val="22"/>
                <w:szCs w:val="22"/>
                <w:lang w:val="uk-UA"/>
              </w:rPr>
              <w:t>31.12.20</w:t>
            </w:r>
            <w:r w:rsidR="000A1DFF">
              <w:rPr>
                <w:b/>
                <w:sz w:val="22"/>
                <w:szCs w:val="22"/>
                <w:lang w:val="uk-UA"/>
              </w:rPr>
              <w:t>2</w:t>
            </w:r>
            <w:r w:rsidR="000E76BB">
              <w:rPr>
                <w:b/>
                <w:sz w:val="22"/>
                <w:szCs w:val="22"/>
                <w:lang w:val="uk-UA"/>
              </w:rPr>
              <w:t>1</w:t>
            </w:r>
          </w:p>
        </w:tc>
        <w:tc>
          <w:tcPr>
            <w:tcW w:w="1399" w:type="dxa"/>
            <w:tcBorders>
              <w:bottom w:val="single" w:sz="4" w:space="0" w:color="auto"/>
            </w:tcBorders>
            <w:shd w:val="clear" w:color="auto" w:fill="auto"/>
          </w:tcPr>
          <w:p w:rsidR="00307565" w:rsidRPr="00307565" w:rsidRDefault="00307565" w:rsidP="00307565">
            <w:pPr>
              <w:spacing w:before="240" w:line="276" w:lineRule="auto"/>
              <w:jc w:val="center"/>
              <w:rPr>
                <w:b/>
                <w:sz w:val="22"/>
                <w:szCs w:val="22"/>
                <w:lang w:val="uk-UA"/>
              </w:rPr>
            </w:pPr>
            <w:r w:rsidRPr="00307565">
              <w:rPr>
                <w:b/>
                <w:sz w:val="22"/>
                <w:szCs w:val="22"/>
                <w:lang w:val="uk-UA"/>
              </w:rPr>
              <w:t>31.12.20</w:t>
            </w:r>
            <w:r w:rsidR="000E76BB">
              <w:rPr>
                <w:b/>
                <w:sz w:val="22"/>
                <w:szCs w:val="22"/>
                <w:lang w:val="uk-UA"/>
              </w:rPr>
              <w:t>20</w:t>
            </w:r>
          </w:p>
        </w:tc>
        <w:tc>
          <w:tcPr>
            <w:tcW w:w="1578" w:type="dxa"/>
            <w:tcBorders>
              <w:bottom w:val="single" w:sz="4" w:space="0" w:color="auto"/>
            </w:tcBorders>
            <w:shd w:val="clear" w:color="auto" w:fill="auto"/>
          </w:tcPr>
          <w:p w:rsidR="00307565" w:rsidRPr="00307565" w:rsidRDefault="00307565" w:rsidP="000A1DFF">
            <w:pPr>
              <w:spacing w:before="240" w:line="276" w:lineRule="auto"/>
              <w:jc w:val="center"/>
              <w:rPr>
                <w:b/>
                <w:sz w:val="22"/>
                <w:szCs w:val="22"/>
                <w:lang w:val="uk-UA"/>
              </w:rPr>
            </w:pPr>
            <w:r w:rsidRPr="00307565">
              <w:rPr>
                <w:b/>
                <w:sz w:val="22"/>
                <w:szCs w:val="22"/>
                <w:lang w:val="uk-UA"/>
              </w:rPr>
              <w:t>31.12.20</w:t>
            </w:r>
            <w:r w:rsidR="000A1DFF">
              <w:rPr>
                <w:b/>
                <w:sz w:val="22"/>
                <w:szCs w:val="22"/>
                <w:lang w:val="uk-UA"/>
              </w:rPr>
              <w:t>2</w:t>
            </w:r>
            <w:r w:rsidR="000E76BB">
              <w:rPr>
                <w:b/>
                <w:sz w:val="22"/>
                <w:szCs w:val="22"/>
                <w:lang w:val="uk-UA"/>
              </w:rPr>
              <w:t>1</w:t>
            </w:r>
          </w:p>
        </w:tc>
      </w:tr>
      <w:tr w:rsidR="00307565" w:rsidRPr="00307565" w:rsidTr="00D8413B">
        <w:tc>
          <w:tcPr>
            <w:tcW w:w="3888" w:type="dxa"/>
            <w:tcBorders>
              <w:right w:val="single" w:sz="4" w:space="0" w:color="auto"/>
            </w:tcBorders>
            <w:shd w:val="clear" w:color="auto" w:fill="auto"/>
          </w:tcPr>
          <w:p w:rsidR="00307565" w:rsidRPr="00307565" w:rsidRDefault="000A1DFF" w:rsidP="00307565">
            <w:pPr>
              <w:spacing w:before="240" w:line="276" w:lineRule="auto"/>
              <w:rPr>
                <w:sz w:val="22"/>
                <w:szCs w:val="22"/>
                <w:lang w:val="uk-UA"/>
              </w:rPr>
            </w:pPr>
            <w:r>
              <w:rPr>
                <w:sz w:val="20"/>
                <w:szCs w:val="20"/>
                <w:lang w:val="uk-UA"/>
              </w:rPr>
              <w:t>Довгострокові фінансові інвестиції: інші фінансові інвестиції</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307565" w:rsidRPr="00307565" w:rsidRDefault="00307565" w:rsidP="00307565">
            <w:pPr>
              <w:spacing w:before="240" w:line="276" w:lineRule="auto"/>
              <w:jc w:val="center"/>
              <w:rPr>
                <w:sz w:val="22"/>
                <w:szCs w:val="22"/>
                <w:lang w:val="uk-UA"/>
              </w:rPr>
            </w:pPr>
          </w:p>
        </w:tc>
        <w:tc>
          <w:tcPr>
            <w:tcW w:w="1481" w:type="dxa"/>
            <w:tcBorders>
              <w:top w:val="single" w:sz="4" w:space="0" w:color="auto"/>
              <w:left w:val="single" w:sz="4" w:space="0" w:color="auto"/>
              <w:bottom w:val="single" w:sz="4" w:space="0" w:color="auto"/>
              <w:right w:val="single" w:sz="4" w:space="0" w:color="auto"/>
            </w:tcBorders>
            <w:shd w:val="clear" w:color="auto" w:fill="auto"/>
          </w:tcPr>
          <w:p w:rsidR="00307565" w:rsidRPr="00307565" w:rsidRDefault="00307565" w:rsidP="00307565">
            <w:pPr>
              <w:spacing w:before="240" w:line="276" w:lineRule="auto"/>
              <w:jc w:val="center"/>
              <w:rPr>
                <w:sz w:val="22"/>
                <w:szCs w:val="22"/>
                <w:lang w:val="uk-UA"/>
              </w:rPr>
            </w:pPr>
          </w:p>
        </w:tc>
        <w:tc>
          <w:tcPr>
            <w:tcW w:w="1399" w:type="dxa"/>
            <w:tcBorders>
              <w:top w:val="single" w:sz="4" w:space="0" w:color="auto"/>
              <w:left w:val="single" w:sz="4" w:space="0" w:color="auto"/>
              <w:bottom w:val="single" w:sz="4" w:space="0" w:color="auto"/>
              <w:right w:val="single" w:sz="4" w:space="0" w:color="auto"/>
            </w:tcBorders>
            <w:shd w:val="clear" w:color="auto" w:fill="auto"/>
          </w:tcPr>
          <w:p w:rsidR="00307565" w:rsidRPr="00307565" w:rsidRDefault="00307565" w:rsidP="00307565">
            <w:pPr>
              <w:spacing w:before="240" w:line="276" w:lineRule="auto"/>
              <w:jc w:val="center"/>
              <w:rPr>
                <w:sz w:val="22"/>
                <w:szCs w:val="22"/>
                <w:lang w:val="uk-UA"/>
              </w:rPr>
            </w:pPr>
          </w:p>
        </w:tc>
        <w:tc>
          <w:tcPr>
            <w:tcW w:w="1578" w:type="dxa"/>
            <w:tcBorders>
              <w:top w:val="single" w:sz="4" w:space="0" w:color="auto"/>
              <w:left w:val="single" w:sz="4" w:space="0" w:color="auto"/>
              <w:bottom w:val="single" w:sz="4" w:space="0" w:color="auto"/>
              <w:right w:val="single" w:sz="4" w:space="0" w:color="auto"/>
            </w:tcBorders>
            <w:shd w:val="clear" w:color="auto" w:fill="auto"/>
          </w:tcPr>
          <w:p w:rsidR="00307565" w:rsidRPr="00307565" w:rsidRDefault="00307565" w:rsidP="00307565">
            <w:pPr>
              <w:spacing w:before="240" w:line="276" w:lineRule="auto"/>
              <w:jc w:val="center"/>
              <w:rPr>
                <w:sz w:val="22"/>
                <w:szCs w:val="22"/>
                <w:lang w:val="uk-UA"/>
              </w:rPr>
            </w:pPr>
          </w:p>
        </w:tc>
      </w:tr>
      <w:tr w:rsidR="00307565" w:rsidRPr="00307565" w:rsidTr="00D8413B">
        <w:tc>
          <w:tcPr>
            <w:tcW w:w="3888" w:type="dxa"/>
            <w:tcBorders>
              <w:right w:val="single" w:sz="4" w:space="0" w:color="auto"/>
            </w:tcBorders>
            <w:shd w:val="clear" w:color="auto" w:fill="auto"/>
          </w:tcPr>
          <w:p w:rsidR="00307565" w:rsidRPr="00307565" w:rsidRDefault="00D72F06" w:rsidP="00307565">
            <w:pPr>
              <w:spacing w:before="240" w:line="276" w:lineRule="auto"/>
              <w:rPr>
                <w:sz w:val="22"/>
                <w:szCs w:val="22"/>
                <w:lang w:val="uk-UA"/>
              </w:rPr>
            </w:pPr>
            <w:r w:rsidRPr="00642CA2">
              <w:rPr>
                <w:sz w:val="20"/>
                <w:szCs w:val="20"/>
                <w:lang w:val="uk-UA"/>
              </w:rPr>
              <w:t>Дебіторська заборгованість</w:t>
            </w:r>
            <w:r>
              <w:rPr>
                <w:sz w:val="20"/>
                <w:szCs w:val="20"/>
                <w:lang w:val="uk-UA"/>
              </w:rPr>
              <w:t xml:space="preserve"> за продукцію, товари, роботи, послуги</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307565" w:rsidRPr="00307565" w:rsidRDefault="00160C84" w:rsidP="00307565">
            <w:pPr>
              <w:spacing w:before="240" w:line="276" w:lineRule="auto"/>
              <w:jc w:val="center"/>
              <w:rPr>
                <w:sz w:val="22"/>
                <w:szCs w:val="22"/>
                <w:lang w:val="uk-UA"/>
              </w:rPr>
            </w:pPr>
            <w:r>
              <w:rPr>
                <w:sz w:val="22"/>
                <w:szCs w:val="22"/>
                <w:lang w:val="uk-UA"/>
              </w:rPr>
              <w:t>211</w:t>
            </w:r>
          </w:p>
        </w:tc>
        <w:tc>
          <w:tcPr>
            <w:tcW w:w="1481" w:type="dxa"/>
            <w:tcBorders>
              <w:top w:val="single" w:sz="4" w:space="0" w:color="auto"/>
              <w:left w:val="single" w:sz="4" w:space="0" w:color="auto"/>
              <w:bottom w:val="single" w:sz="4" w:space="0" w:color="auto"/>
              <w:right w:val="single" w:sz="4" w:space="0" w:color="auto"/>
            </w:tcBorders>
            <w:shd w:val="clear" w:color="auto" w:fill="auto"/>
          </w:tcPr>
          <w:p w:rsidR="00307565" w:rsidRPr="00307565" w:rsidRDefault="00160C84" w:rsidP="00307565">
            <w:pPr>
              <w:spacing w:before="240" w:line="276" w:lineRule="auto"/>
              <w:jc w:val="center"/>
              <w:rPr>
                <w:sz w:val="22"/>
                <w:szCs w:val="22"/>
                <w:lang w:val="uk-UA"/>
              </w:rPr>
            </w:pPr>
            <w:r>
              <w:rPr>
                <w:sz w:val="22"/>
                <w:szCs w:val="22"/>
                <w:lang w:val="uk-UA"/>
              </w:rPr>
              <w:t>2</w:t>
            </w:r>
          </w:p>
        </w:tc>
        <w:tc>
          <w:tcPr>
            <w:tcW w:w="1399" w:type="dxa"/>
            <w:tcBorders>
              <w:top w:val="single" w:sz="4" w:space="0" w:color="auto"/>
              <w:left w:val="single" w:sz="4" w:space="0" w:color="auto"/>
              <w:bottom w:val="single" w:sz="4" w:space="0" w:color="auto"/>
              <w:right w:val="single" w:sz="4" w:space="0" w:color="auto"/>
            </w:tcBorders>
            <w:shd w:val="clear" w:color="auto" w:fill="auto"/>
          </w:tcPr>
          <w:p w:rsidR="00307565" w:rsidRPr="00307565" w:rsidRDefault="00160C84" w:rsidP="00307565">
            <w:pPr>
              <w:spacing w:before="240" w:line="276" w:lineRule="auto"/>
              <w:jc w:val="center"/>
              <w:rPr>
                <w:sz w:val="22"/>
                <w:szCs w:val="22"/>
                <w:lang w:val="uk-UA"/>
              </w:rPr>
            </w:pPr>
            <w:r>
              <w:rPr>
                <w:sz w:val="22"/>
                <w:szCs w:val="22"/>
                <w:lang w:val="uk-UA"/>
              </w:rPr>
              <w:t>211</w:t>
            </w:r>
          </w:p>
        </w:tc>
        <w:tc>
          <w:tcPr>
            <w:tcW w:w="1578" w:type="dxa"/>
            <w:tcBorders>
              <w:top w:val="single" w:sz="4" w:space="0" w:color="auto"/>
              <w:left w:val="single" w:sz="4" w:space="0" w:color="auto"/>
              <w:bottom w:val="single" w:sz="4" w:space="0" w:color="auto"/>
              <w:right w:val="single" w:sz="4" w:space="0" w:color="auto"/>
            </w:tcBorders>
            <w:shd w:val="clear" w:color="auto" w:fill="auto"/>
          </w:tcPr>
          <w:p w:rsidR="00307565" w:rsidRPr="00307565" w:rsidRDefault="00160C84" w:rsidP="00307565">
            <w:pPr>
              <w:spacing w:before="240" w:line="276" w:lineRule="auto"/>
              <w:jc w:val="center"/>
              <w:rPr>
                <w:sz w:val="22"/>
                <w:szCs w:val="22"/>
                <w:lang w:val="uk-UA"/>
              </w:rPr>
            </w:pPr>
            <w:r>
              <w:rPr>
                <w:sz w:val="22"/>
                <w:szCs w:val="22"/>
                <w:lang w:val="uk-UA"/>
              </w:rPr>
              <w:t>2</w:t>
            </w:r>
          </w:p>
        </w:tc>
      </w:tr>
      <w:tr w:rsidR="00B34550" w:rsidRPr="00307565" w:rsidTr="00D8413B">
        <w:tc>
          <w:tcPr>
            <w:tcW w:w="3888" w:type="dxa"/>
            <w:tcBorders>
              <w:right w:val="single" w:sz="4" w:space="0" w:color="auto"/>
            </w:tcBorders>
            <w:shd w:val="clear" w:color="auto" w:fill="auto"/>
          </w:tcPr>
          <w:p w:rsidR="00B34550" w:rsidRPr="00642CA2" w:rsidRDefault="00B34550" w:rsidP="00307565">
            <w:pPr>
              <w:spacing w:before="240" w:line="276" w:lineRule="auto"/>
              <w:rPr>
                <w:sz w:val="20"/>
                <w:szCs w:val="20"/>
                <w:lang w:val="uk-UA"/>
              </w:rPr>
            </w:pPr>
            <w:r>
              <w:rPr>
                <w:sz w:val="20"/>
                <w:szCs w:val="20"/>
                <w:lang w:val="uk-UA"/>
              </w:rPr>
              <w:t>Інша поточна дебіторська заборгованість</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B34550" w:rsidRDefault="00160C84" w:rsidP="00307565">
            <w:pPr>
              <w:spacing w:before="240" w:line="276" w:lineRule="auto"/>
              <w:jc w:val="center"/>
              <w:rPr>
                <w:sz w:val="22"/>
                <w:szCs w:val="22"/>
                <w:lang w:val="uk-UA"/>
              </w:rPr>
            </w:pPr>
            <w:r>
              <w:rPr>
                <w:sz w:val="22"/>
                <w:szCs w:val="22"/>
                <w:lang w:val="uk-UA"/>
              </w:rPr>
              <w:t>3582</w:t>
            </w:r>
          </w:p>
        </w:tc>
        <w:tc>
          <w:tcPr>
            <w:tcW w:w="1481" w:type="dxa"/>
            <w:tcBorders>
              <w:top w:val="single" w:sz="4" w:space="0" w:color="auto"/>
              <w:left w:val="single" w:sz="4" w:space="0" w:color="auto"/>
              <w:bottom w:val="single" w:sz="4" w:space="0" w:color="auto"/>
              <w:right w:val="single" w:sz="4" w:space="0" w:color="auto"/>
            </w:tcBorders>
            <w:shd w:val="clear" w:color="auto" w:fill="auto"/>
          </w:tcPr>
          <w:p w:rsidR="00B34550" w:rsidRDefault="00160C84" w:rsidP="00307565">
            <w:pPr>
              <w:spacing w:before="240" w:line="276" w:lineRule="auto"/>
              <w:jc w:val="center"/>
              <w:rPr>
                <w:sz w:val="22"/>
                <w:szCs w:val="22"/>
                <w:lang w:val="uk-UA"/>
              </w:rPr>
            </w:pPr>
            <w:r>
              <w:rPr>
                <w:sz w:val="22"/>
                <w:szCs w:val="22"/>
                <w:lang w:val="uk-UA"/>
              </w:rPr>
              <w:t>5749</w:t>
            </w:r>
          </w:p>
        </w:tc>
        <w:tc>
          <w:tcPr>
            <w:tcW w:w="1399" w:type="dxa"/>
            <w:tcBorders>
              <w:top w:val="single" w:sz="4" w:space="0" w:color="auto"/>
              <w:left w:val="single" w:sz="4" w:space="0" w:color="auto"/>
              <w:bottom w:val="single" w:sz="4" w:space="0" w:color="auto"/>
              <w:right w:val="single" w:sz="4" w:space="0" w:color="auto"/>
            </w:tcBorders>
            <w:shd w:val="clear" w:color="auto" w:fill="auto"/>
          </w:tcPr>
          <w:p w:rsidR="00B34550" w:rsidRDefault="00160C84" w:rsidP="00307565">
            <w:pPr>
              <w:spacing w:before="240" w:line="276" w:lineRule="auto"/>
              <w:jc w:val="center"/>
              <w:rPr>
                <w:sz w:val="22"/>
                <w:szCs w:val="22"/>
                <w:lang w:val="uk-UA"/>
              </w:rPr>
            </w:pPr>
            <w:r>
              <w:rPr>
                <w:sz w:val="22"/>
                <w:szCs w:val="22"/>
                <w:lang w:val="uk-UA"/>
              </w:rPr>
              <w:t>3582</w:t>
            </w:r>
          </w:p>
        </w:tc>
        <w:tc>
          <w:tcPr>
            <w:tcW w:w="1578" w:type="dxa"/>
            <w:tcBorders>
              <w:top w:val="single" w:sz="4" w:space="0" w:color="auto"/>
              <w:left w:val="single" w:sz="4" w:space="0" w:color="auto"/>
              <w:bottom w:val="single" w:sz="4" w:space="0" w:color="auto"/>
              <w:right w:val="single" w:sz="4" w:space="0" w:color="auto"/>
            </w:tcBorders>
            <w:shd w:val="clear" w:color="auto" w:fill="auto"/>
          </w:tcPr>
          <w:p w:rsidR="00B34550" w:rsidRDefault="00160C84" w:rsidP="00307565">
            <w:pPr>
              <w:spacing w:before="240" w:line="276" w:lineRule="auto"/>
              <w:jc w:val="center"/>
              <w:rPr>
                <w:sz w:val="22"/>
                <w:szCs w:val="22"/>
                <w:lang w:val="uk-UA"/>
              </w:rPr>
            </w:pPr>
            <w:r>
              <w:rPr>
                <w:sz w:val="22"/>
                <w:szCs w:val="22"/>
                <w:lang w:val="uk-UA"/>
              </w:rPr>
              <w:t>5749</w:t>
            </w:r>
          </w:p>
        </w:tc>
      </w:tr>
      <w:tr w:rsidR="00946AFD" w:rsidRPr="00307565" w:rsidTr="00D8413B">
        <w:tc>
          <w:tcPr>
            <w:tcW w:w="3888" w:type="dxa"/>
            <w:tcBorders>
              <w:right w:val="single" w:sz="4" w:space="0" w:color="auto"/>
            </w:tcBorders>
            <w:shd w:val="clear" w:color="auto" w:fill="auto"/>
          </w:tcPr>
          <w:p w:rsidR="00946AFD" w:rsidRDefault="00946AFD" w:rsidP="00307565">
            <w:pPr>
              <w:spacing w:before="240" w:line="276" w:lineRule="auto"/>
              <w:rPr>
                <w:sz w:val="20"/>
                <w:szCs w:val="20"/>
                <w:lang w:val="uk-UA"/>
              </w:rPr>
            </w:pPr>
            <w:r>
              <w:rPr>
                <w:sz w:val="20"/>
                <w:szCs w:val="20"/>
                <w:lang w:val="uk-UA"/>
              </w:rPr>
              <w:t>Грошові кошти ті їх еквіваленти</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946AFD" w:rsidRDefault="00160C84" w:rsidP="00307565">
            <w:pPr>
              <w:spacing w:before="240" w:line="276" w:lineRule="auto"/>
              <w:jc w:val="center"/>
              <w:rPr>
                <w:sz w:val="22"/>
                <w:szCs w:val="22"/>
                <w:lang w:val="uk-UA"/>
              </w:rPr>
            </w:pPr>
            <w:r>
              <w:rPr>
                <w:sz w:val="22"/>
                <w:szCs w:val="22"/>
                <w:lang w:val="uk-UA"/>
              </w:rPr>
              <w:t>185</w:t>
            </w:r>
          </w:p>
        </w:tc>
        <w:tc>
          <w:tcPr>
            <w:tcW w:w="1481" w:type="dxa"/>
            <w:tcBorders>
              <w:top w:val="single" w:sz="4" w:space="0" w:color="auto"/>
              <w:left w:val="single" w:sz="4" w:space="0" w:color="auto"/>
              <w:bottom w:val="single" w:sz="4" w:space="0" w:color="auto"/>
              <w:right w:val="single" w:sz="4" w:space="0" w:color="auto"/>
            </w:tcBorders>
            <w:shd w:val="clear" w:color="auto" w:fill="auto"/>
          </w:tcPr>
          <w:p w:rsidR="00946AFD" w:rsidRDefault="00160C84" w:rsidP="00307565">
            <w:pPr>
              <w:spacing w:before="240" w:line="276" w:lineRule="auto"/>
              <w:jc w:val="center"/>
              <w:rPr>
                <w:sz w:val="22"/>
                <w:szCs w:val="22"/>
                <w:lang w:val="uk-UA"/>
              </w:rPr>
            </w:pPr>
            <w:r>
              <w:rPr>
                <w:sz w:val="22"/>
                <w:szCs w:val="22"/>
                <w:lang w:val="uk-UA"/>
              </w:rPr>
              <w:t>197</w:t>
            </w:r>
          </w:p>
        </w:tc>
        <w:tc>
          <w:tcPr>
            <w:tcW w:w="1399" w:type="dxa"/>
            <w:tcBorders>
              <w:top w:val="single" w:sz="4" w:space="0" w:color="auto"/>
              <w:left w:val="single" w:sz="4" w:space="0" w:color="auto"/>
              <w:bottom w:val="single" w:sz="4" w:space="0" w:color="auto"/>
              <w:right w:val="single" w:sz="4" w:space="0" w:color="auto"/>
            </w:tcBorders>
            <w:shd w:val="clear" w:color="auto" w:fill="auto"/>
          </w:tcPr>
          <w:p w:rsidR="00946AFD" w:rsidRDefault="00160C84" w:rsidP="00307565">
            <w:pPr>
              <w:spacing w:before="240" w:line="276" w:lineRule="auto"/>
              <w:jc w:val="center"/>
              <w:rPr>
                <w:sz w:val="22"/>
                <w:szCs w:val="22"/>
                <w:lang w:val="uk-UA"/>
              </w:rPr>
            </w:pPr>
            <w:r>
              <w:rPr>
                <w:sz w:val="22"/>
                <w:szCs w:val="22"/>
                <w:lang w:val="uk-UA"/>
              </w:rPr>
              <w:t>185</w:t>
            </w:r>
          </w:p>
        </w:tc>
        <w:tc>
          <w:tcPr>
            <w:tcW w:w="1578" w:type="dxa"/>
            <w:tcBorders>
              <w:top w:val="single" w:sz="4" w:space="0" w:color="auto"/>
              <w:left w:val="single" w:sz="4" w:space="0" w:color="auto"/>
              <w:bottom w:val="single" w:sz="4" w:space="0" w:color="auto"/>
              <w:right w:val="single" w:sz="4" w:space="0" w:color="auto"/>
            </w:tcBorders>
            <w:shd w:val="clear" w:color="auto" w:fill="auto"/>
          </w:tcPr>
          <w:p w:rsidR="00946AFD" w:rsidRDefault="00160C84" w:rsidP="00307565">
            <w:pPr>
              <w:spacing w:before="240" w:line="276" w:lineRule="auto"/>
              <w:jc w:val="center"/>
              <w:rPr>
                <w:sz w:val="22"/>
                <w:szCs w:val="22"/>
                <w:lang w:val="uk-UA"/>
              </w:rPr>
            </w:pPr>
            <w:r>
              <w:rPr>
                <w:sz w:val="22"/>
                <w:szCs w:val="22"/>
                <w:lang w:val="uk-UA"/>
              </w:rPr>
              <w:t>197</w:t>
            </w:r>
          </w:p>
        </w:tc>
      </w:tr>
    </w:tbl>
    <w:p w:rsidR="00896750" w:rsidRPr="00FB6615" w:rsidRDefault="00896750" w:rsidP="00896750">
      <w:pPr>
        <w:ind w:firstLine="567"/>
        <w:jc w:val="both"/>
        <w:rPr>
          <w:lang w:val="uk-UA"/>
        </w:rPr>
      </w:pPr>
      <w:r>
        <w:rPr>
          <w:lang w:val="uk-UA"/>
        </w:rPr>
        <w:t xml:space="preserve"> </w:t>
      </w:r>
      <w:r w:rsidRPr="00FB6615">
        <w:rPr>
          <w:lang w:val="uk-UA"/>
        </w:rPr>
        <w:t>Справедлива вартість фінансових активів та зобов</w:t>
      </w:r>
      <w:r>
        <w:rPr>
          <w:lang w:val="uk-UA"/>
        </w:rPr>
        <w:t>’язань  станом на 31 грудня 2020року та на 1 січня 2021</w:t>
      </w:r>
      <w:r w:rsidRPr="00FB6615">
        <w:rPr>
          <w:lang w:val="uk-UA"/>
        </w:rPr>
        <w:t xml:space="preserve"> року   дорівнює їх балансової вартості.</w:t>
      </w:r>
    </w:p>
    <w:p w:rsidR="00307565" w:rsidRPr="00307565" w:rsidRDefault="00896750" w:rsidP="00896750">
      <w:pPr>
        <w:jc w:val="both"/>
        <w:rPr>
          <w:lang w:val="uk-UA"/>
        </w:rPr>
      </w:pPr>
      <w:r>
        <w:rPr>
          <w:lang w:val="uk-UA"/>
        </w:rPr>
        <w:t xml:space="preserve">          </w:t>
      </w:r>
      <w:r w:rsidR="00307565" w:rsidRPr="00307565">
        <w:rPr>
          <w:lang w:val="uk-UA"/>
        </w:rPr>
        <w:t xml:space="preserve">Керівництво Товариства вважає, що наведені розкриття щодо застосування справедливої вартості  є достатніми, і  не вважає, що за  межами фінансової звітності залишилась будь - яка суттєва інформація щодо застосування справедливої вартості, яка може бути корисною для  користувачів фінансової звітності. </w:t>
      </w:r>
    </w:p>
    <w:p w:rsidR="00DC296D" w:rsidRDefault="00DC296D" w:rsidP="00C429BC">
      <w:pPr>
        <w:ind w:firstLine="540"/>
        <w:jc w:val="both"/>
        <w:rPr>
          <w:b/>
          <w:lang w:val="uk-UA"/>
        </w:rPr>
      </w:pPr>
    </w:p>
    <w:p w:rsidR="00CE4D0C" w:rsidRPr="00DD57A1" w:rsidRDefault="00A766C6" w:rsidP="00C429BC">
      <w:pPr>
        <w:ind w:firstLine="540"/>
        <w:jc w:val="both"/>
        <w:rPr>
          <w:i/>
          <w:iCs/>
          <w:lang w:val="uk-UA"/>
        </w:rPr>
      </w:pPr>
      <w:r>
        <w:rPr>
          <w:b/>
          <w:lang w:val="uk-UA"/>
        </w:rPr>
        <w:t xml:space="preserve">6. </w:t>
      </w:r>
      <w:r w:rsidR="00CE4D0C" w:rsidRPr="00DD57A1">
        <w:rPr>
          <w:b/>
          <w:lang w:val="uk-UA"/>
        </w:rPr>
        <w:t xml:space="preserve">Окремі елементи фінансової звітності за </w:t>
      </w:r>
      <w:r w:rsidR="00EC7E20">
        <w:rPr>
          <w:b/>
          <w:lang w:val="uk-UA"/>
        </w:rPr>
        <w:t>20</w:t>
      </w:r>
      <w:r w:rsidR="006F3782">
        <w:rPr>
          <w:b/>
          <w:lang w:val="uk-UA"/>
        </w:rPr>
        <w:t>2</w:t>
      </w:r>
      <w:r w:rsidR="00910F0A">
        <w:rPr>
          <w:b/>
          <w:lang w:val="uk-UA"/>
        </w:rPr>
        <w:t>1</w:t>
      </w:r>
      <w:r w:rsidR="00CE4D0C" w:rsidRPr="00DD57A1">
        <w:rPr>
          <w:b/>
          <w:lang w:val="uk-UA"/>
        </w:rPr>
        <w:t xml:space="preserve"> р</w:t>
      </w:r>
      <w:r w:rsidR="00EC7E20">
        <w:rPr>
          <w:b/>
          <w:lang w:val="uk-UA"/>
        </w:rPr>
        <w:t>оку</w:t>
      </w:r>
    </w:p>
    <w:p w:rsidR="00E630BE" w:rsidRPr="00DD57A1" w:rsidRDefault="00E630BE" w:rsidP="00C429BC">
      <w:pPr>
        <w:pStyle w:val="ABC-paragrahinNotes"/>
        <w:spacing w:after="0"/>
        <w:ind w:firstLine="567"/>
        <w:rPr>
          <w:rFonts w:ascii="Times New Roman" w:hAnsi="Times New Roman"/>
          <w:sz w:val="24"/>
          <w:szCs w:val="24"/>
          <w:lang w:val="uk-UA"/>
        </w:rPr>
      </w:pPr>
    </w:p>
    <w:p w:rsidR="005E61E5" w:rsidRPr="00DD57A1" w:rsidRDefault="00A766C6" w:rsidP="00C429BC">
      <w:pPr>
        <w:ind w:firstLine="567"/>
        <w:jc w:val="both"/>
        <w:rPr>
          <w:b/>
          <w:lang w:val="uk-UA"/>
        </w:rPr>
      </w:pPr>
      <w:r>
        <w:rPr>
          <w:b/>
          <w:lang w:val="uk-UA"/>
        </w:rPr>
        <w:t xml:space="preserve">6.1. </w:t>
      </w:r>
      <w:r w:rsidR="005E61E5" w:rsidRPr="00DD57A1">
        <w:rPr>
          <w:b/>
          <w:lang w:val="uk-UA"/>
        </w:rPr>
        <w:t>Інформація за сегментами</w:t>
      </w:r>
    </w:p>
    <w:p w:rsidR="005E61E5" w:rsidRPr="00DD57A1" w:rsidRDefault="00163FAE" w:rsidP="00C429BC">
      <w:pPr>
        <w:pStyle w:val="11"/>
        <w:ind w:left="0" w:firstLine="567"/>
        <w:jc w:val="both"/>
        <w:rPr>
          <w:color w:val="0070C0"/>
          <w:lang w:val="uk-UA"/>
        </w:rPr>
      </w:pPr>
      <w:r w:rsidRPr="00DD57A1">
        <w:rPr>
          <w:lang w:val="uk-UA"/>
        </w:rPr>
        <w:t>Товариство</w:t>
      </w:r>
      <w:r w:rsidR="005E61E5" w:rsidRPr="00DD57A1">
        <w:rPr>
          <w:lang w:val="uk-UA"/>
        </w:rPr>
        <w:t xml:space="preserve"> не розкриває інформацію за сегментами, оскільки вона не відповідає вимогам визначеним МСФЗ 8 «Операційні сегменти», що мають розкривати таку інформацію</w:t>
      </w:r>
      <w:r w:rsidR="005E61E5" w:rsidRPr="00DD57A1">
        <w:rPr>
          <w:color w:val="0070C0"/>
          <w:lang w:val="uk-UA"/>
        </w:rPr>
        <w:t>.</w:t>
      </w:r>
    </w:p>
    <w:p w:rsidR="005E61E5" w:rsidRPr="00DD57A1" w:rsidRDefault="005E61E5" w:rsidP="00C429BC">
      <w:pPr>
        <w:pStyle w:val="11"/>
        <w:ind w:left="0" w:firstLine="567"/>
        <w:jc w:val="both"/>
        <w:rPr>
          <w:lang w:val="uk-UA"/>
        </w:rPr>
      </w:pPr>
    </w:p>
    <w:p w:rsidR="005E61E5" w:rsidRPr="00DD57A1" w:rsidRDefault="00A766C6" w:rsidP="00C429BC">
      <w:pPr>
        <w:ind w:left="567"/>
        <w:jc w:val="both"/>
        <w:rPr>
          <w:b/>
          <w:lang w:val="uk-UA"/>
        </w:rPr>
      </w:pPr>
      <w:r>
        <w:rPr>
          <w:b/>
          <w:lang w:val="uk-UA"/>
        </w:rPr>
        <w:t xml:space="preserve">6.2. </w:t>
      </w:r>
      <w:r w:rsidR="005E61E5" w:rsidRPr="00DD57A1">
        <w:rPr>
          <w:b/>
          <w:lang w:val="uk-UA"/>
        </w:rPr>
        <w:t>Основні засоби</w:t>
      </w:r>
    </w:p>
    <w:p w:rsidR="005E61E5" w:rsidRPr="00DD57A1" w:rsidRDefault="005A04F6" w:rsidP="00EA7DC6">
      <w:pPr>
        <w:ind w:firstLine="567"/>
        <w:jc w:val="both"/>
        <w:rPr>
          <w:lang w:val="uk-UA"/>
        </w:rPr>
      </w:pPr>
      <w:r w:rsidRPr="00C96C81">
        <w:rPr>
          <w:lang w:val="uk-UA"/>
        </w:rPr>
        <w:t>Таблиця узгодження балансової вартості основних засобів Товариства на початок і кінець звітного періоду та попереднього</w:t>
      </w:r>
      <w:r>
        <w:rPr>
          <w:lang w:val="uk-UA"/>
        </w:rPr>
        <w:t xml:space="preserve"> </w:t>
      </w:r>
      <w:r w:rsidRPr="00C96C81">
        <w:rPr>
          <w:lang w:val="uk-UA"/>
        </w:rPr>
        <w:t>з</w:t>
      </w:r>
      <w:r>
        <w:rPr>
          <w:lang w:val="uk-UA"/>
        </w:rPr>
        <w:t xml:space="preserve">вітного періоду, що відображає: </w:t>
      </w:r>
      <w:r w:rsidRPr="00C96C81">
        <w:rPr>
          <w:lang w:val="uk-UA"/>
        </w:rPr>
        <w:t>первісну вартість, надходження основних засобів, збільшення або зменшення вартості, які виникають у результаті переоцінок,  та амортизаційні відрахування за рік.</w:t>
      </w:r>
      <w:r w:rsidR="005E61E5" w:rsidRPr="00DD57A1">
        <w:rPr>
          <w:lang w:val="uk-UA"/>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01"/>
        <w:gridCol w:w="1134"/>
        <w:gridCol w:w="1256"/>
        <w:gridCol w:w="1256"/>
        <w:gridCol w:w="1276"/>
        <w:gridCol w:w="1134"/>
        <w:gridCol w:w="1356"/>
        <w:gridCol w:w="1276"/>
      </w:tblGrid>
      <w:tr w:rsidR="003B2624" w:rsidRPr="00DD57A1" w:rsidTr="00896750">
        <w:tc>
          <w:tcPr>
            <w:tcW w:w="1701" w:type="dxa"/>
            <w:tcBorders>
              <w:top w:val="single" w:sz="4" w:space="0" w:color="auto"/>
              <w:left w:val="single" w:sz="4" w:space="0" w:color="auto"/>
              <w:bottom w:val="single" w:sz="4" w:space="0" w:color="auto"/>
              <w:right w:val="single" w:sz="4" w:space="0" w:color="auto"/>
            </w:tcBorders>
            <w:vAlign w:val="center"/>
          </w:tcPr>
          <w:p w:rsidR="003B2624" w:rsidRPr="006714E7" w:rsidRDefault="003B2624" w:rsidP="006714E7">
            <w:pPr>
              <w:ind w:firstLine="34"/>
              <w:jc w:val="center"/>
              <w:rPr>
                <w:sz w:val="20"/>
                <w:szCs w:val="20"/>
                <w:lang w:val="uk-UA"/>
              </w:rPr>
            </w:pPr>
            <w:r w:rsidRPr="006714E7">
              <w:rPr>
                <w:sz w:val="20"/>
                <w:szCs w:val="20"/>
                <w:lang w:val="uk-UA"/>
              </w:rPr>
              <w:t>Вартість  (тис. грн.)</w:t>
            </w:r>
          </w:p>
        </w:tc>
        <w:tc>
          <w:tcPr>
            <w:tcW w:w="1134" w:type="dxa"/>
            <w:tcBorders>
              <w:top w:val="single" w:sz="4" w:space="0" w:color="auto"/>
              <w:left w:val="single" w:sz="4" w:space="0" w:color="auto"/>
              <w:bottom w:val="single" w:sz="4" w:space="0" w:color="auto"/>
              <w:right w:val="single" w:sz="4" w:space="0" w:color="auto"/>
            </w:tcBorders>
            <w:vAlign w:val="center"/>
          </w:tcPr>
          <w:p w:rsidR="003B2624" w:rsidRPr="006714E7" w:rsidRDefault="003B2624" w:rsidP="006714E7">
            <w:pPr>
              <w:jc w:val="center"/>
              <w:rPr>
                <w:sz w:val="20"/>
                <w:szCs w:val="20"/>
                <w:lang w:val="uk-UA"/>
              </w:rPr>
            </w:pPr>
            <w:r w:rsidRPr="006714E7">
              <w:rPr>
                <w:sz w:val="20"/>
                <w:szCs w:val="20"/>
                <w:lang w:val="uk-UA"/>
              </w:rPr>
              <w:t>Будівлі і споруди</w:t>
            </w:r>
          </w:p>
        </w:tc>
        <w:tc>
          <w:tcPr>
            <w:tcW w:w="1256" w:type="dxa"/>
            <w:tcBorders>
              <w:top w:val="single" w:sz="4" w:space="0" w:color="auto"/>
              <w:left w:val="single" w:sz="4" w:space="0" w:color="auto"/>
              <w:bottom w:val="single" w:sz="4" w:space="0" w:color="auto"/>
              <w:right w:val="single" w:sz="4" w:space="0" w:color="auto"/>
            </w:tcBorders>
            <w:vAlign w:val="center"/>
          </w:tcPr>
          <w:p w:rsidR="003B2624" w:rsidRPr="006714E7" w:rsidRDefault="003B2624" w:rsidP="006714E7">
            <w:pPr>
              <w:ind w:firstLine="34"/>
              <w:jc w:val="center"/>
              <w:rPr>
                <w:sz w:val="20"/>
                <w:szCs w:val="20"/>
                <w:lang w:val="uk-UA"/>
              </w:rPr>
            </w:pPr>
            <w:r w:rsidRPr="006714E7">
              <w:rPr>
                <w:sz w:val="20"/>
                <w:szCs w:val="20"/>
                <w:lang w:val="uk-UA"/>
              </w:rPr>
              <w:t>Комп’ютери та обладнання</w:t>
            </w:r>
          </w:p>
        </w:tc>
        <w:tc>
          <w:tcPr>
            <w:tcW w:w="1256" w:type="dxa"/>
            <w:tcBorders>
              <w:top w:val="single" w:sz="4" w:space="0" w:color="auto"/>
              <w:left w:val="single" w:sz="4" w:space="0" w:color="auto"/>
              <w:bottom w:val="single" w:sz="4" w:space="0" w:color="auto"/>
              <w:right w:val="single" w:sz="4" w:space="0" w:color="auto"/>
            </w:tcBorders>
            <w:vAlign w:val="center"/>
          </w:tcPr>
          <w:p w:rsidR="003B2624" w:rsidRPr="006714E7" w:rsidRDefault="003B2624" w:rsidP="006714E7">
            <w:pPr>
              <w:ind w:firstLine="34"/>
              <w:jc w:val="center"/>
              <w:rPr>
                <w:sz w:val="20"/>
                <w:szCs w:val="20"/>
                <w:lang w:val="uk-UA"/>
              </w:rPr>
            </w:pPr>
            <w:r w:rsidRPr="006714E7">
              <w:rPr>
                <w:sz w:val="20"/>
                <w:szCs w:val="20"/>
                <w:lang w:val="uk-UA"/>
              </w:rPr>
              <w:t>Транспортні засоби</w:t>
            </w:r>
          </w:p>
        </w:tc>
        <w:tc>
          <w:tcPr>
            <w:tcW w:w="1276" w:type="dxa"/>
            <w:tcBorders>
              <w:top w:val="single" w:sz="4" w:space="0" w:color="auto"/>
              <w:left w:val="single" w:sz="4" w:space="0" w:color="auto"/>
              <w:bottom w:val="single" w:sz="4" w:space="0" w:color="auto"/>
              <w:right w:val="single" w:sz="4" w:space="0" w:color="auto"/>
            </w:tcBorders>
            <w:vAlign w:val="center"/>
          </w:tcPr>
          <w:p w:rsidR="003B2624" w:rsidRPr="006714E7" w:rsidRDefault="003B2624" w:rsidP="006714E7">
            <w:pPr>
              <w:jc w:val="center"/>
              <w:rPr>
                <w:sz w:val="20"/>
                <w:szCs w:val="20"/>
                <w:lang w:val="uk-UA"/>
              </w:rPr>
            </w:pPr>
            <w:r w:rsidRPr="006714E7">
              <w:rPr>
                <w:sz w:val="20"/>
                <w:szCs w:val="20"/>
                <w:lang w:val="uk-UA"/>
              </w:rPr>
              <w:t>Офісні меблі, приладдя та інвентар</w:t>
            </w:r>
          </w:p>
        </w:tc>
        <w:tc>
          <w:tcPr>
            <w:tcW w:w="1134" w:type="dxa"/>
            <w:tcBorders>
              <w:top w:val="single" w:sz="4" w:space="0" w:color="auto"/>
              <w:left w:val="single" w:sz="4" w:space="0" w:color="auto"/>
              <w:bottom w:val="single" w:sz="4" w:space="0" w:color="auto"/>
              <w:right w:val="single" w:sz="4" w:space="0" w:color="auto"/>
            </w:tcBorders>
            <w:vAlign w:val="center"/>
          </w:tcPr>
          <w:p w:rsidR="003B2624" w:rsidRPr="006714E7" w:rsidRDefault="003B2624" w:rsidP="006714E7">
            <w:pPr>
              <w:jc w:val="center"/>
              <w:rPr>
                <w:sz w:val="20"/>
                <w:szCs w:val="20"/>
                <w:lang w:val="uk-UA"/>
              </w:rPr>
            </w:pPr>
            <w:r w:rsidRPr="006714E7">
              <w:rPr>
                <w:sz w:val="20"/>
                <w:szCs w:val="20"/>
                <w:lang w:val="uk-UA"/>
              </w:rPr>
              <w:t>Інші основні засоби</w:t>
            </w:r>
          </w:p>
        </w:tc>
        <w:tc>
          <w:tcPr>
            <w:tcW w:w="1356" w:type="dxa"/>
            <w:tcBorders>
              <w:top w:val="single" w:sz="4" w:space="0" w:color="auto"/>
              <w:left w:val="single" w:sz="4" w:space="0" w:color="auto"/>
              <w:bottom w:val="single" w:sz="4" w:space="0" w:color="auto"/>
              <w:right w:val="single" w:sz="4" w:space="0" w:color="auto"/>
            </w:tcBorders>
            <w:vAlign w:val="center"/>
          </w:tcPr>
          <w:p w:rsidR="003B2624" w:rsidRPr="006714E7" w:rsidRDefault="003B2624" w:rsidP="006714E7">
            <w:pPr>
              <w:jc w:val="center"/>
              <w:rPr>
                <w:sz w:val="20"/>
                <w:szCs w:val="20"/>
                <w:lang w:val="uk-UA"/>
              </w:rPr>
            </w:pPr>
            <w:r>
              <w:rPr>
                <w:sz w:val="20"/>
                <w:szCs w:val="20"/>
                <w:lang w:val="uk-UA"/>
              </w:rPr>
              <w:t>Актив з правом користування</w:t>
            </w:r>
          </w:p>
        </w:tc>
        <w:tc>
          <w:tcPr>
            <w:tcW w:w="1276" w:type="dxa"/>
            <w:tcBorders>
              <w:top w:val="single" w:sz="4" w:space="0" w:color="auto"/>
              <w:left w:val="single" w:sz="4" w:space="0" w:color="auto"/>
              <w:bottom w:val="single" w:sz="4" w:space="0" w:color="auto"/>
              <w:right w:val="single" w:sz="4" w:space="0" w:color="auto"/>
            </w:tcBorders>
            <w:vAlign w:val="center"/>
          </w:tcPr>
          <w:p w:rsidR="003B2624" w:rsidRPr="006714E7" w:rsidRDefault="003B2624" w:rsidP="006714E7">
            <w:pPr>
              <w:ind w:firstLine="34"/>
              <w:jc w:val="center"/>
              <w:rPr>
                <w:sz w:val="20"/>
                <w:szCs w:val="20"/>
                <w:lang w:val="uk-UA"/>
              </w:rPr>
            </w:pPr>
            <w:r w:rsidRPr="006714E7">
              <w:rPr>
                <w:sz w:val="20"/>
                <w:szCs w:val="20"/>
                <w:lang w:val="uk-UA"/>
              </w:rPr>
              <w:t>Всього</w:t>
            </w:r>
          </w:p>
        </w:tc>
      </w:tr>
      <w:tr w:rsidR="00990212" w:rsidRPr="00DD57A1" w:rsidTr="00896750">
        <w:tc>
          <w:tcPr>
            <w:tcW w:w="10389" w:type="dxa"/>
            <w:gridSpan w:val="8"/>
            <w:tcBorders>
              <w:top w:val="single" w:sz="4" w:space="0" w:color="auto"/>
              <w:left w:val="single" w:sz="4" w:space="0" w:color="auto"/>
              <w:bottom w:val="single" w:sz="4" w:space="0" w:color="auto"/>
              <w:right w:val="single" w:sz="4" w:space="0" w:color="auto"/>
            </w:tcBorders>
            <w:vAlign w:val="center"/>
          </w:tcPr>
          <w:p w:rsidR="00990212" w:rsidRDefault="00990212" w:rsidP="00990212">
            <w:pPr>
              <w:ind w:firstLine="34"/>
              <w:rPr>
                <w:sz w:val="20"/>
                <w:szCs w:val="20"/>
                <w:lang w:val="uk-UA"/>
              </w:rPr>
            </w:pPr>
            <w:r>
              <w:rPr>
                <w:sz w:val="20"/>
                <w:szCs w:val="20"/>
                <w:lang w:val="uk-UA"/>
              </w:rPr>
              <w:t>Первісна вартість та оцінка</w:t>
            </w:r>
          </w:p>
        </w:tc>
      </w:tr>
      <w:tr w:rsidR="003B2624" w:rsidRPr="00DD57A1" w:rsidTr="00896750">
        <w:tc>
          <w:tcPr>
            <w:tcW w:w="1701" w:type="dxa"/>
            <w:tcBorders>
              <w:top w:val="single" w:sz="4" w:space="0" w:color="auto"/>
              <w:left w:val="single" w:sz="4" w:space="0" w:color="auto"/>
              <w:bottom w:val="single" w:sz="4" w:space="0" w:color="auto"/>
              <w:right w:val="single" w:sz="4" w:space="0" w:color="auto"/>
            </w:tcBorders>
            <w:vAlign w:val="center"/>
          </w:tcPr>
          <w:p w:rsidR="003B2624" w:rsidRPr="006714E7" w:rsidRDefault="003B2624" w:rsidP="002C62C6">
            <w:pPr>
              <w:ind w:firstLine="34"/>
              <w:rPr>
                <w:sz w:val="20"/>
                <w:szCs w:val="20"/>
                <w:highlight w:val="yellow"/>
                <w:lang w:val="uk-UA"/>
              </w:rPr>
            </w:pPr>
            <w:r w:rsidRPr="006714E7">
              <w:rPr>
                <w:sz w:val="20"/>
                <w:szCs w:val="20"/>
                <w:lang w:val="uk-UA"/>
              </w:rPr>
              <w:t>На 31.12.20</w:t>
            </w:r>
            <w:r w:rsidR="00DE78E1">
              <w:rPr>
                <w:sz w:val="20"/>
                <w:szCs w:val="20"/>
                <w:lang w:val="uk-UA"/>
              </w:rPr>
              <w:t>20</w:t>
            </w:r>
            <w:r w:rsidRPr="006714E7">
              <w:rPr>
                <w:sz w:val="20"/>
                <w:szCs w:val="20"/>
                <w:lang w:val="uk-UA"/>
              </w:rPr>
              <w:t xml:space="preserve"> р.  </w:t>
            </w:r>
          </w:p>
        </w:tc>
        <w:tc>
          <w:tcPr>
            <w:tcW w:w="1134" w:type="dxa"/>
            <w:tcBorders>
              <w:top w:val="single" w:sz="4" w:space="0" w:color="auto"/>
              <w:left w:val="single" w:sz="4" w:space="0" w:color="auto"/>
              <w:bottom w:val="single" w:sz="4" w:space="0" w:color="auto"/>
              <w:right w:val="single" w:sz="4" w:space="0" w:color="auto"/>
            </w:tcBorders>
            <w:vAlign w:val="center"/>
          </w:tcPr>
          <w:p w:rsidR="003B2624" w:rsidRPr="006714E7" w:rsidRDefault="00896750" w:rsidP="00137E8E">
            <w:pPr>
              <w:ind w:firstLine="34"/>
              <w:jc w:val="center"/>
              <w:rPr>
                <w:sz w:val="20"/>
                <w:szCs w:val="20"/>
                <w:lang w:val="uk-UA"/>
              </w:rPr>
            </w:pPr>
            <w:r>
              <w:rPr>
                <w:sz w:val="20"/>
                <w:szCs w:val="20"/>
                <w:lang w:val="uk-UA"/>
              </w:rPr>
              <w:t>485</w:t>
            </w:r>
          </w:p>
        </w:tc>
        <w:tc>
          <w:tcPr>
            <w:tcW w:w="1256" w:type="dxa"/>
            <w:tcBorders>
              <w:top w:val="single" w:sz="4" w:space="0" w:color="auto"/>
              <w:left w:val="single" w:sz="4" w:space="0" w:color="auto"/>
              <w:bottom w:val="single" w:sz="4" w:space="0" w:color="auto"/>
              <w:right w:val="single" w:sz="4" w:space="0" w:color="auto"/>
            </w:tcBorders>
            <w:vAlign w:val="center"/>
          </w:tcPr>
          <w:p w:rsidR="003B2624" w:rsidRPr="006714E7" w:rsidRDefault="00896750" w:rsidP="00AA3B27">
            <w:pPr>
              <w:ind w:firstLine="34"/>
              <w:jc w:val="center"/>
              <w:rPr>
                <w:sz w:val="20"/>
                <w:szCs w:val="20"/>
              </w:rPr>
            </w:pPr>
            <w:r>
              <w:rPr>
                <w:sz w:val="20"/>
                <w:szCs w:val="20"/>
                <w:lang w:val="uk-UA"/>
              </w:rPr>
              <w:t>10</w:t>
            </w:r>
          </w:p>
        </w:tc>
        <w:tc>
          <w:tcPr>
            <w:tcW w:w="1256" w:type="dxa"/>
            <w:tcBorders>
              <w:top w:val="single" w:sz="4" w:space="0" w:color="auto"/>
              <w:left w:val="single" w:sz="4" w:space="0" w:color="auto"/>
              <w:bottom w:val="single" w:sz="4" w:space="0" w:color="auto"/>
              <w:right w:val="single" w:sz="4" w:space="0" w:color="auto"/>
            </w:tcBorders>
            <w:vAlign w:val="center"/>
          </w:tcPr>
          <w:p w:rsidR="003B2624" w:rsidRPr="006714E7" w:rsidRDefault="00896750" w:rsidP="00652B5C">
            <w:pPr>
              <w:ind w:firstLine="34"/>
              <w:jc w:val="center"/>
              <w:rPr>
                <w:sz w:val="20"/>
                <w:szCs w:val="20"/>
                <w:lang w:val="uk-UA"/>
              </w:rPr>
            </w:pPr>
            <w:r>
              <w:rPr>
                <w:sz w:val="20"/>
                <w:szCs w:val="20"/>
                <w:lang w:val="uk-UA"/>
              </w:rPr>
              <w:t>0</w:t>
            </w:r>
          </w:p>
        </w:tc>
        <w:tc>
          <w:tcPr>
            <w:tcW w:w="1276" w:type="dxa"/>
            <w:tcBorders>
              <w:top w:val="single" w:sz="4" w:space="0" w:color="auto"/>
              <w:left w:val="single" w:sz="4" w:space="0" w:color="auto"/>
              <w:bottom w:val="single" w:sz="4" w:space="0" w:color="auto"/>
              <w:right w:val="single" w:sz="4" w:space="0" w:color="auto"/>
            </w:tcBorders>
            <w:vAlign w:val="center"/>
          </w:tcPr>
          <w:p w:rsidR="003B2624" w:rsidRPr="00896750" w:rsidRDefault="00896750" w:rsidP="00896750">
            <w:pPr>
              <w:ind w:firstLine="34"/>
              <w:rPr>
                <w:sz w:val="20"/>
                <w:szCs w:val="20"/>
                <w:lang w:val="uk-UA"/>
              </w:rPr>
            </w:pPr>
            <w:r>
              <w:rPr>
                <w:sz w:val="20"/>
                <w:szCs w:val="20"/>
                <w:lang w:val="uk-UA"/>
              </w:rPr>
              <w:t xml:space="preserve">       65</w:t>
            </w:r>
          </w:p>
        </w:tc>
        <w:tc>
          <w:tcPr>
            <w:tcW w:w="1134" w:type="dxa"/>
            <w:tcBorders>
              <w:top w:val="single" w:sz="4" w:space="0" w:color="auto"/>
              <w:left w:val="single" w:sz="4" w:space="0" w:color="auto"/>
              <w:bottom w:val="single" w:sz="4" w:space="0" w:color="auto"/>
              <w:right w:val="single" w:sz="4" w:space="0" w:color="auto"/>
            </w:tcBorders>
            <w:vAlign w:val="center"/>
          </w:tcPr>
          <w:p w:rsidR="003B2624" w:rsidRPr="006714E7" w:rsidRDefault="00896750" w:rsidP="00652B5C">
            <w:pPr>
              <w:ind w:firstLine="34"/>
              <w:jc w:val="center"/>
              <w:rPr>
                <w:sz w:val="20"/>
                <w:szCs w:val="20"/>
                <w:lang w:val="uk-UA"/>
              </w:rPr>
            </w:pPr>
            <w:r>
              <w:rPr>
                <w:sz w:val="20"/>
                <w:szCs w:val="20"/>
                <w:lang w:val="uk-UA"/>
              </w:rPr>
              <w:t>94</w:t>
            </w:r>
          </w:p>
        </w:tc>
        <w:tc>
          <w:tcPr>
            <w:tcW w:w="1356" w:type="dxa"/>
            <w:tcBorders>
              <w:top w:val="single" w:sz="4" w:space="0" w:color="auto"/>
              <w:left w:val="single" w:sz="4" w:space="0" w:color="auto"/>
              <w:bottom w:val="single" w:sz="4" w:space="0" w:color="auto"/>
              <w:right w:val="single" w:sz="4" w:space="0" w:color="auto"/>
            </w:tcBorders>
          </w:tcPr>
          <w:p w:rsidR="003B2624" w:rsidRPr="006714E7" w:rsidRDefault="00896750" w:rsidP="00652B5C">
            <w:pPr>
              <w:ind w:firstLine="34"/>
              <w:jc w:val="center"/>
              <w:rPr>
                <w:sz w:val="20"/>
                <w:szCs w:val="20"/>
                <w:lang w:val="uk-UA"/>
              </w:rPr>
            </w:pPr>
            <w:r>
              <w:rPr>
                <w:sz w:val="20"/>
                <w:szCs w:val="20"/>
                <w:lang w:val="uk-UA"/>
              </w:rPr>
              <w:t>0</w:t>
            </w:r>
          </w:p>
        </w:tc>
        <w:tc>
          <w:tcPr>
            <w:tcW w:w="1276" w:type="dxa"/>
            <w:tcBorders>
              <w:top w:val="single" w:sz="4" w:space="0" w:color="auto"/>
              <w:left w:val="single" w:sz="4" w:space="0" w:color="auto"/>
              <w:bottom w:val="single" w:sz="4" w:space="0" w:color="auto"/>
              <w:right w:val="single" w:sz="4" w:space="0" w:color="auto"/>
            </w:tcBorders>
            <w:vAlign w:val="center"/>
          </w:tcPr>
          <w:p w:rsidR="003B2624" w:rsidRPr="006714E7" w:rsidRDefault="00896750" w:rsidP="00652B5C">
            <w:pPr>
              <w:ind w:firstLine="34"/>
              <w:jc w:val="center"/>
              <w:rPr>
                <w:sz w:val="20"/>
                <w:szCs w:val="20"/>
                <w:lang w:val="uk-UA"/>
              </w:rPr>
            </w:pPr>
            <w:r>
              <w:rPr>
                <w:sz w:val="20"/>
                <w:szCs w:val="20"/>
                <w:lang w:val="uk-UA"/>
              </w:rPr>
              <w:t>654</w:t>
            </w:r>
          </w:p>
        </w:tc>
      </w:tr>
      <w:tr w:rsidR="003B2624" w:rsidRPr="00DD57A1" w:rsidTr="00896750">
        <w:tc>
          <w:tcPr>
            <w:tcW w:w="1701" w:type="dxa"/>
            <w:tcBorders>
              <w:top w:val="single" w:sz="4" w:space="0" w:color="auto"/>
              <w:left w:val="single" w:sz="4" w:space="0" w:color="auto"/>
              <w:bottom w:val="single" w:sz="4" w:space="0" w:color="auto"/>
              <w:right w:val="single" w:sz="4" w:space="0" w:color="auto"/>
            </w:tcBorders>
            <w:vAlign w:val="center"/>
          </w:tcPr>
          <w:p w:rsidR="003B2624" w:rsidRPr="006714E7" w:rsidRDefault="003B2624" w:rsidP="002C62C6">
            <w:pPr>
              <w:ind w:firstLine="34"/>
              <w:rPr>
                <w:sz w:val="20"/>
                <w:szCs w:val="20"/>
                <w:lang w:val="uk-UA"/>
              </w:rPr>
            </w:pPr>
            <w:r w:rsidRPr="006714E7">
              <w:rPr>
                <w:sz w:val="20"/>
                <w:szCs w:val="20"/>
                <w:lang w:val="uk-UA"/>
              </w:rPr>
              <w:t>Надійшло за рік</w:t>
            </w:r>
          </w:p>
        </w:tc>
        <w:tc>
          <w:tcPr>
            <w:tcW w:w="1134" w:type="dxa"/>
            <w:tcBorders>
              <w:top w:val="single" w:sz="4" w:space="0" w:color="auto"/>
              <w:left w:val="single" w:sz="4" w:space="0" w:color="auto"/>
              <w:bottom w:val="single" w:sz="4" w:space="0" w:color="auto"/>
              <w:right w:val="single" w:sz="4" w:space="0" w:color="auto"/>
            </w:tcBorders>
            <w:vAlign w:val="center"/>
          </w:tcPr>
          <w:p w:rsidR="003B2624" w:rsidRPr="006714E7" w:rsidRDefault="003B2624" w:rsidP="00137E8E">
            <w:pPr>
              <w:ind w:firstLine="34"/>
              <w:jc w:val="center"/>
              <w:rPr>
                <w:sz w:val="20"/>
                <w:szCs w:val="20"/>
                <w:lang w:val="uk-UA"/>
              </w:rPr>
            </w:pPr>
            <w:r w:rsidRPr="006714E7">
              <w:rPr>
                <w:sz w:val="20"/>
                <w:szCs w:val="20"/>
                <w:lang w:val="uk-UA"/>
              </w:rPr>
              <w:t>0</w:t>
            </w:r>
          </w:p>
        </w:tc>
        <w:tc>
          <w:tcPr>
            <w:tcW w:w="1256" w:type="dxa"/>
            <w:tcBorders>
              <w:top w:val="single" w:sz="4" w:space="0" w:color="auto"/>
              <w:left w:val="single" w:sz="4" w:space="0" w:color="auto"/>
              <w:bottom w:val="single" w:sz="4" w:space="0" w:color="auto"/>
              <w:right w:val="single" w:sz="4" w:space="0" w:color="auto"/>
            </w:tcBorders>
            <w:vAlign w:val="center"/>
          </w:tcPr>
          <w:p w:rsidR="003B2624" w:rsidRPr="006714E7" w:rsidRDefault="00DE78E1" w:rsidP="00137E8E">
            <w:pPr>
              <w:ind w:firstLine="34"/>
              <w:jc w:val="center"/>
              <w:rPr>
                <w:sz w:val="20"/>
                <w:szCs w:val="20"/>
                <w:lang w:val="uk-UA"/>
              </w:rPr>
            </w:pPr>
            <w:r>
              <w:rPr>
                <w:sz w:val="20"/>
                <w:szCs w:val="20"/>
                <w:lang w:val="uk-UA"/>
              </w:rPr>
              <w:t>0</w:t>
            </w:r>
          </w:p>
        </w:tc>
        <w:tc>
          <w:tcPr>
            <w:tcW w:w="1256" w:type="dxa"/>
            <w:tcBorders>
              <w:top w:val="single" w:sz="4" w:space="0" w:color="auto"/>
              <w:left w:val="single" w:sz="4" w:space="0" w:color="auto"/>
              <w:bottom w:val="single" w:sz="4" w:space="0" w:color="auto"/>
              <w:right w:val="single" w:sz="4" w:space="0" w:color="auto"/>
            </w:tcBorders>
            <w:vAlign w:val="center"/>
          </w:tcPr>
          <w:p w:rsidR="003B2624" w:rsidRPr="006714E7" w:rsidRDefault="003B2624" w:rsidP="00137E8E">
            <w:pPr>
              <w:ind w:firstLine="34"/>
              <w:jc w:val="center"/>
              <w:rPr>
                <w:sz w:val="20"/>
                <w:szCs w:val="20"/>
                <w:lang w:val="uk-UA"/>
              </w:rPr>
            </w:pPr>
            <w:r w:rsidRPr="006714E7">
              <w:rPr>
                <w:sz w:val="20"/>
                <w:szCs w:val="20"/>
                <w:lang w:val="uk-UA"/>
              </w:rPr>
              <w:t>0</w:t>
            </w:r>
          </w:p>
        </w:tc>
        <w:tc>
          <w:tcPr>
            <w:tcW w:w="1276" w:type="dxa"/>
            <w:tcBorders>
              <w:top w:val="single" w:sz="4" w:space="0" w:color="auto"/>
              <w:left w:val="single" w:sz="4" w:space="0" w:color="auto"/>
              <w:bottom w:val="single" w:sz="4" w:space="0" w:color="auto"/>
              <w:right w:val="single" w:sz="4" w:space="0" w:color="auto"/>
            </w:tcBorders>
            <w:vAlign w:val="center"/>
          </w:tcPr>
          <w:p w:rsidR="003B2624" w:rsidRPr="006714E7" w:rsidRDefault="003B2624" w:rsidP="00137E8E">
            <w:pPr>
              <w:ind w:firstLine="34"/>
              <w:jc w:val="center"/>
              <w:rPr>
                <w:sz w:val="20"/>
                <w:szCs w:val="20"/>
                <w:lang w:val="uk-UA"/>
              </w:rPr>
            </w:pPr>
            <w:r>
              <w:rPr>
                <w:sz w:val="20"/>
                <w:szCs w:val="20"/>
                <w:lang w:val="uk-UA"/>
              </w:rPr>
              <w:t>0</w:t>
            </w:r>
          </w:p>
        </w:tc>
        <w:tc>
          <w:tcPr>
            <w:tcW w:w="1134" w:type="dxa"/>
            <w:tcBorders>
              <w:top w:val="single" w:sz="4" w:space="0" w:color="auto"/>
              <w:left w:val="single" w:sz="4" w:space="0" w:color="auto"/>
              <w:bottom w:val="single" w:sz="4" w:space="0" w:color="auto"/>
              <w:right w:val="single" w:sz="4" w:space="0" w:color="auto"/>
            </w:tcBorders>
            <w:vAlign w:val="center"/>
          </w:tcPr>
          <w:p w:rsidR="003B2624" w:rsidRPr="006714E7" w:rsidRDefault="00DE78E1" w:rsidP="006F3782">
            <w:pPr>
              <w:ind w:firstLine="34"/>
              <w:jc w:val="center"/>
              <w:rPr>
                <w:sz w:val="20"/>
                <w:szCs w:val="20"/>
                <w:lang w:val="uk-UA"/>
              </w:rPr>
            </w:pPr>
            <w:r>
              <w:rPr>
                <w:sz w:val="20"/>
                <w:szCs w:val="20"/>
                <w:lang w:val="uk-UA"/>
              </w:rPr>
              <w:t>0</w:t>
            </w:r>
          </w:p>
        </w:tc>
        <w:tc>
          <w:tcPr>
            <w:tcW w:w="1356" w:type="dxa"/>
            <w:tcBorders>
              <w:top w:val="single" w:sz="4" w:space="0" w:color="auto"/>
              <w:left w:val="single" w:sz="4" w:space="0" w:color="auto"/>
              <w:bottom w:val="single" w:sz="4" w:space="0" w:color="auto"/>
              <w:right w:val="single" w:sz="4" w:space="0" w:color="auto"/>
            </w:tcBorders>
          </w:tcPr>
          <w:p w:rsidR="003B2624" w:rsidRPr="006714E7" w:rsidRDefault="00896750" w:rsidP="00137E8E">
            <w:pPr>
              <w:ind w:firstLine="34"/>
              <w:jc w:val="center"/>
              <w:rPr>
                <w:sz w:val="20"/>
                <w:szCs w:val="20"/>
                <w:lang w:val="uk-UA"/>
              </w:rPr>
            </w:pPr>
            <w:r>
              <w:rPr>
                <w:sz w:val="20"/>
                <w:szCs w:val="20"/>
                <w:lang w:val="uk-UA"/>
              </w:rPr>
              <w:t>0</w:t>
            </w:r>
          </w:p>
        </w:tc>
        <w:tc>
          <w:tcPr>
            <w:tcW w:w="1276" w:type="dxa"/>
            <w:tcBorders>
              <w:top w:val="single" w:sz="4" w:space="0" w:color="auto"/>
              <w:left w:val="single" w:sz="4" w:space="0" w:color="auto"/>
              <w:bottom w:val="single" w:sz="4" w:space="0" w:color="auto"/>
              <w:right w:val="single" w:sz="4" w:space="0" w:color="auto"/>
            </w:tcBorders>
            <w:vAlign w:val="center"/>
          </w:tcPr>
          <w:p w:rsidR="003B2624" w:rsidRPr="006714E7" w:rsidRDefault="00896750" w:rsidP="00137E8E">
            <w:pPr>
              <w:ind w:firstLine="34"/>
              <w:jc w:val="center"/>
              <w:rPr>
                <w:sz w:val="20"/>
                <w:szCs w:val="20"/>
                <w:lang w:val="uk-UA"/>
              </w:rPr>
            </w:pPr>
            <w:r>
              <w:rPr>
                <w:sz w:val="20"/>
                <w:szCs w:val="20"/>
                <w:lang w:val="uk-UA"/>
              </w:rPr>
              <w:t>0</w:t>
            </w:r>
          </w:p>
        </w:tc>
      </w:tr>
      <w:tr w:rsidR="005A04F6" w:rsidRPr="00DD57A1" w:rsidTr="00896750">
        <w:tc>
          <w:tcPr>
            <w:tcW w:w="1701" w:type="dxa"/>
            <w:tcBorders>
              <w:top w:val="single" w:sz="4" w:space="0" w:color="auto"/>
              <w:left w:val="single" w:sz="4" w:space="0" w:color="auto"/>
              <w:bottom w:val="single" w:sz="4" w:space="0" w:color="auto"/>
              <w:right w:val="single" w:sz="4" w:space="0" w:color="auto"/>
            </w:tcBorders>
            <w:vAlign w:val="center"/>
          </w:tcPr>
          <w:p w:rsidR="005A04F6" w:rsidRPr="006714E7" w:rsidRDefault="005A04F6" w:rsidP="005A04F6">
            <w:pPr>
              <w:ind w:firstLine="34"/>
              <w:rPr>
                <w:sz w:val="20"/>
                <w:szCs w:val="20"/>
                <w:lang w:val="uk-UA"/>
              </w:rPr>
            </w:pPr>
            <w:r>
              <w:rPr>
                <w:sz w:val="20"/>
                <w:szCs w:val="20"/>
                <w:lang w:val="uk-UA"/>
              </w:rPr>
              <w:t>Переоцінка</w:t>
            </w:r>
          </w:p>
        </w:tc>
        <w:tc>
          <w:tcPr>
            <w:tcW w:w="1134" w:type="dxa"/>
            <w:tcBorders>
              <w:top w:val="single" w:sz="4" w:space="0" w:color="auto"/>
              <w:left w:val="single" w:sz="4" w:space="0" w:color="auto"/>
              <w:bottom w:val="single" w:sz="4" w:space="0" w:color="auto"/>
              <w:right w:val="single" w:sz="4" w:space="0" w:color="auto"/>
            </w:tcBorders>
            <w:vAlign w:val="center"/>
          </w:tcPr>
          <w:p w:rsidR="005A04F6" w:rsidRPr="006714E7" w:rsidRDefault="005A04F6" w:rsidP="00137E8E">
            <w:pPr>
              <w:ind w:firstLine="34"/>
              <w:jc w:val="center"/>
              <w:rPr>
                <w:sz w:val="20"/>
                <w:szCs w:val="20"/>
                <w:lang w:val="uk-UA"/>
              </w:rPr>
            </w:pPr>
            <w:r>
              <w:rPr>
                <w:sz w:val="20"/>
                <w:szCs w:val="20"/>
                <w:lang w:val="uk-UA"/>
              </w:rPr>
              <w:t>0</w:t>
            </w:r>
          </w:p>
        </w:tc>
        <w:tc>
          <w:tcPr>
            <w:tcW w:w="1256" w:type="dxa"/>
            <w:tcBorders>
              <w:top w:val="single" w:sz="4" w:space="0" w:color="auto"/>
              <w:left w:val="single" w:sz="4" w:space="0" w:color="auto"/>
              <w:bottom w:val="single" w:sz="4" w:space="0" w:color="auto"/>
              <w:right w:val="single" w:sz="4" w:space="0" w:color="auto"/>
            </w:tcBorders>
            <w:vAlign w:val="center"/>
          </w:tcPr>
          <w:p w:rsidR="005A04F6" w:rsidRDefault="005A04F6" w:rsidP="00906B9A">
            <w:pPr>
              <w:ind w:firstLine="34"/>
              <w:jc w:val="center"/>
              <w:rPr>
                <w:sz w:val="20"/>
                <w:szCs w:val="20"/>
                <w:lang w:val="uk-UA"/>
              </w:rPr>
            </w:pPr>
            <w:r>
              <w:rPr>
                <w:sz w:val="20"/>
                <w:szCs w:val="20"/>
                <w:lang w:val="uk-UA"/>
              </w:rPr>
              <w:t>0</w:t>
            </w:r>
          </w:p>
        </w:tc>
        <w:tc>
          <w:tcPr>
            <w:tcW w:w="1256" w:type="dxa"/>
            <w:tcBorders>
              <w:top w:val="single" w:sz="4" w:space="0" w:color="auto"/>
              <w:left w:val="single" w:sz="4" w:space="0" w:color="auto"/>
              <w:bottom w:val="single" w:sz="4" w:space="0" w:color="auto"/>
              <w:right w:val="single" w:sz="4" w:space="0" w:color="auto"/>
            </w:tcBorders>
            <w:vAlign w:val="center"/>
          </w:tcPr>
          <w:p w:rsidR="005A04F6" w:rsidRPr="006714E7" w:rsidRDefault="005A04F6" w:rsidP="00137E8E">
            <w:pPr>
              <w:ind w:firstLine="34"/>
              <w:jc w:val="center"/>
              <w:rPr>
                <w:sz w:val="20"/>
                <w:szCs w:val="20"/>
                <w:lang w:val="uk-UA"/>
              </w:rPr>
            </w:pPr>
            <w:r>
              <w:rPr>
                <w:sz w:val="20"/>
                <w:szCs w:val="20"/>
                <w:lang w:val="uk-UA"/>
              </w:rPr>
              <w:t>0</w:t>
            </w:r>
          </w:p>
        </w:tc>
        <w:tc>
          <w:tcPr>
            <w:tcW w:w="1276" w:type="dxa"/>
            <w:tcBorders>
              <w:top w:val="single" w:sz="4" w:space="0" w:color="auto"/>
              <w:left w:val="single" w:sz="4" w:space="0" w:color="auto"/>
              <w:bottom w:val="single" w:sz="4" w:space="0" w:color="auto"/>
              <w:right w:val="single" w:sz="4" w:space="0" w:color="auto"/>
            </w:tcBorders>
            <w:vAlign w:val="center"/>
          </w:tcPr>
          <w:p w:rsidR="005A04F6" w:rsidRPr="006714E7" w:rsidRDefault="005A04F6" w:rsidP="00137E8E">
            <w:pPr>
              <w:ind w:firstLine="34"/>
              <w:jc w:val="center"/>
              <w:rPr>
                <w:sz w:val="20"/>
                <w:szCs w:val="20"/>
                <w:lang w:val="uk-UA"/>
              </w:rPr>
            </w:pPr>
            <w:r>
              <w:rPr>
                <w:sz w:val="20"/>
                <w:szCs w:val="20"/>
                <w:lang w:val="uk-UA"/>
              </w:rPr>
              <w:t>0</w:t>
            </w:r>
          </w:p>
        </w:tc>
        <w:tc>
          <w:tcPr>
            <w:tcW w:w="1134" w:type="dxa"/>
            <w:tcBorders>
              <w:top w:val="single" w:sz="4" w:space="0" w:color="auto"/>
              <w:left w:val="single" w:sz="4" w:space="0" w:color="auto"/>
              <w:bottom w:val="single" w:sz="4" w:space="0" w:color="auto"/>
              <w:right w:val="single" w:sz="4" w:space="0" w:color="auto"/>
            </w:tcBorders>
            <w:vAlign w:val="center"/>
          </w:tcPr>
          <w:p w:rsidR="005A04F6" w:rsidRDefault="005A04F6" w:rsidP="006714E7">
            <w:pPr>
              <w:ind w:firstLine="34"/>
              <w:jc w:val="center"/>
              <w:rPr>
                <w:sz w:val="20"/>
                <w:szCs w:val="20"/>
                <w:lang w:val="uk-UA"/>
              </w:rPr>
            </w:pPr>
            <w:r>
              <w:rPr>
                <w:sz w:val="20"/>
                <w:szCs w:val="20"/>
                <w:lang w:val="uk-UA"/>
              </w:rPr>
              <w:t>0</w:t>
            </w:r>
          </w:p>
        </w:tc>
        <w:tc>
          <w:tcPr>
            <w:tcW w:w="1356" w:type="dxa"/>
            <w:tcBorders>
              <w:top w:val="single" w:sz="4" w:space="0" w:color="auto"/>
              <w:left w:val="single" w:sz="4" w:space="0" w:color="auto"/>
              <w:bottom w:val="single" w:sz="4" w:space="0" w:color="auto"/>
              <w:right w:val="single" w:sz="4" w:space="0" w:color="auto"/>
            </w:tcBorders>
          </w:tcPr>
          <w:p w:rsidR="005A04F6" w:rsidRDefault="005A04F6" w:rsidP="00137E8E">
            <w:pPr>
              <w:ind w:firstLine="34"/>
              <w:jc w:val="center"/>
              <w:rPr>
                <w:sz w:val="20"/>
                <w:szCs w:val="20"/>
                <w:lang w:val="uk-UA"/>
              </w:rPr>
            </w:pPr>
            <w:r>
              <w:rPr>
                <w:sz w:val="20"/>
                <w:szCs w:val="20"/>
                <w:lang w:val="uk-UA"/>
              </w:rPr>
              <w:t>0</w:t>
            </w:r>
          </w:p>
        </w:tc>
        <w:tc>
          <w:tcPr>
            <w:tcW w:w="1276" w:type="dxa"/>
            <w:tcBorders>
              <w:top w:val="single" w:sz="4" w:space="0" w:color="auto"/>
              <w:left w:val="single" w:sz="4" w:space="0" w:color="auto"/>
              <w:bottom w:val="single" w:sz="4" w:space="0" w:color="auto"/>
              <w:right w:val="single" w:sz="4" w:space="0" w:color="auto"/>
            </w:tcBorders>
            <w:vAlign w:val="center"/>
          </w:tcPr>
          <w:p w:rsidR="005A04F6" w:rsidRDefault="005A04F6" w:rsidP="00906B9A">
            <w:pPr>
              <w:ind w:firstLine="34"/>
              <w:jc w:val="center"/>
              <w:rPr>
                <w:sz w:val="20"/>
                <w:szCs w:val="20"/>
                <w:lang w:val="uk-UA"/>
              </w:rPr>
            </w:pPr>
            <w:r>
              <w:rPr>
                <w:sz w:val="20"/>
                <w:szCs w:val="20"/>
                <w:lang w:val="uk-UA"/>
              </w:rPr>
              <w:t>0</w:t>
            </w:r>
          </w:p>
        </w:tc>
      </w:tr>
      <w:tr w:rsidR="003B2624" w:rsidRPr="00DD57A1" w:rsidTr="00896750">
        <w:tc>
          <w:tcPr>
            <w:tcW w:w="1701" w:type="dxa"/>
            <w:tcBorders>
              <w:top w:val="single" w:sz="4" w:space="0" w:color="auto"/>
              <w:left w:val="single" w:sz="4" w:space="0" w:color="auto"/>
              <w:bottom w:val="single" w:sz="4" w:space="0" w:color="auto"/>
              <w:right w:val="single" w:sz="4" w:space="0" w:color="auto"/>
            </w:tcBorders>
            <w:vAlign w:val="center"/>
          </w:tcPr>
          <w:p w:rsidR="003B2624" w:rsidRPr="006714E7" w:rsidRDefault="003B2624" w:rsidP="002C62C6">
            <w:pPr>
              <w:ind w:firstLine="34"/>
              <w:rPr>
                <w:sz w:val="20"/>
                <w:szCs w:val="20"/>
                <w:lang w:val="uk-UA"/>
              </w:rPr>
            </w:pPr>
            <w:r w:rsidRPr="006714E7">
              <w:rPr>
                <w:sz w:val="20"/>
                <w:szCs w:val="20"/>
                <w:lang w:val="uk-UA"/>
              </w:rPr>
              <w:t xml:space="preserve">Вибуло </w:t>
            </w:r>
            <w:r w:rsidR="00D31C90">
              <w:rPr>
                <w:sz w:val="20"/>
                <w:szCs w:val="20"/>
                <w:lang w:val="uk-UA"/>
              </w:rPr>
              <w:t xml:space="preserve">за </w:t>
            </w:r>
            <w:r w:rsidRPr="006714E7">
              <w:rPr>
                <w:sz w:val="20"/>
                <w:szCs w:val="20"/>
                <w:lang w:val="uk-UA"/>
              </w:rPr>
              <w:t>рік</w:t>
            </w:r>
          </w:p>
        </w:tc>
        <w:tc>
          <w:tcPr>
            <w:tcW w:w="1134" w:type="dxa"/>
            <w:tcBorders>
              <w:top w:val="single" w:sz="4" w:space="0" w:color="auto"/>
              <w:left w:val="single" w:sz="4" w:space="0" w:color="auto"/>
              <w:bottom w:val="single" w:sz="4" w:space="0" w:color="auto"/>
              <w:right w:val="single" w:sz="4" w:space="0" w:color="auto"/>
            </w:tcBorders>
            <w:vAlign w:val="center"/>
          </w:tcPr>
          <w:p w:rsidR="003B2624" w:rsidRPr="006714E7" w:rsidRDefault="003B2624" w:rsidP="00137E8E">
            <w:pPr>
              <w:ind w:firstLine="34"/>
              <w:jc w:val="center"/>
              <w:rPr>
                <w:sz w:val="20"/>
                <w:szCs w:val="20"/>
                <w:lang w:val="uk-UA"/>
              </w:rPr>
            </w:pPr>
            <w:r w:rsidRPr="006714E7">
              <w:rPr>
                <w:sz w:val="20"/>
                <w:szCs w:val="20"/>
                <w:lang w:val="uk-UA"/>
              </w:rPr>
              <w:t>0</w:t>
            </w:r>
          </w:p>
        </w:tc>
        <w:tc>
          <w:tcPr>
            <w:tcW w:w="1256" w:type="dxa"/>
            <w:tcBorders>
              <w:top w:val="single" w:sz="4" w:space="0" w:color="auto"/>
              <w:left w:val="single" w:sz="4" w:space="0" w:color="auto"/>
              <w:bottom w:val="single" w:sz="4" w:space="0" w:color="auto"/>
              <w:right w:val="single" w:sz="4" w:space="0" w:color="auto"/>
            </w:tcBorders>
            <w:vAlign w:val="center"/>
          </w:tcPr>
          <w:p w:rsidR="003B2624" w:rsidRPr="006714E7" w:rsidRDefault="00896750" w:rsidP="00906B9A">
            <w:pPr>
              <w:ind w:firstLine="34"/>
              <w:jc w:val="center"/>
              <w:rPr>
                <w:sz w:val="20"/>
                <w:szCs w:val="20"/>
                <w:lang w:val="uk-UA"/>
              </w:rPr>
            </w:pPr>
            <w:r>
              <w:rPr>
                <w:sz w:val="20"/>
                <w:szCs w:val="20"/>
                <w:lang w:val="uk-UA"/>
              </w:rPr>
              <w:t>0</w:t>
            </w:r>
          </w:p>
        </w:tc>
        <w:tc>
          <w:tcPr>
            <w:tcW w:w="1256" w:type="dxa"/>
            <w:tcBorders>
              <w:top w:val="single" w:sz="4" w:space="0" w:color="auto"/>
              <w:left w:val="single" w:sz="4" w:space="0" w:color="auto"/>
              <w:bottom w:val="single" w:sz="4" w:space="0" w:color="auto"/>
              <w:right w:val="single" w:sz="4" w:space="0" w:color="auto"/>
            </w:tcBorders>
            <w:vAlign w:val="center"/>
          </w:tcPr>
          <w:p w:rsidR="003B2624" w:rsidRPr="006714E7" w:rsidRDefault="003B2624" w:rsidP="00137E8E">
            <w:pPr>
              <w:ind w:firstLine="34"/>
              <w:jc w:val="center"/>
              <w:rPr>
                <w:sz w:val="20"/>
                <w:szCs w:val="20"/>
                <w:lang w:val="uk-UA"/>
              </w:rPr>
            </w:pPr>
            <w:r w:rsidRPr="006714E7">
              <w:rPr>
                <w:sz w:val="20"/>
                <w:szCs w:val="20"/>
                <w:lang w:val="uk-UA"/>
              </w:rPr>
              <w:t>0</w:t>
            </w:r>
          </w:p>
        </w:tc>
        <w:tc>
          <w:tcPr>
            <w:tcW w:w="1276" w:type="dxa"/>
            <w:tcBorders>
              <w:top w:val="single" w:sz="4" w:space="0" w:color="auto"/>
              <w:left w:val="single" w:sz="4" w:space="0" w:color="auto"/>
              <w:bottom w:val="single" w:sz="4" w:space="0" w:color="auto"/>
              <w:right w:val="single" w:sz="4" w:space="0" w:color="auto"/>
            </w:tcBorders>
            <w:vAlign w:val="center"/>
          </w:tcPr>
          <w:p w:rsidR="003B2624" w:rsidRPr="006714E7" w:rsidRDefault="00480D4E" w:rsidP="00137E8E">
            <w:pPr>
              <w:ind w:firstLine="34"/>
              <w:jc w:val="center"/>
              <w:rPr>
                <w:sz w:val="20"/>
                <w:szCs w:val="20"/>
                <w:lang w:val="uk-UA"/>
              </w:rPr>
            </w:pPr>
            <w:r>
              <w:rPr>
                <w:sz w:val="20"/>
                <w:szCs w:val="20"/>
                <w:lang w:val="uk-UA"/>
              </w:rPr>
              <w:t>6</w:t>
            </w:r>
          </w:p>
        </w:tc>
        <w:tc>
          <w:tcPr>
            <w:tcW w:w="1134" w:type="dxa"/>
            <w:tcBorders>
              <w:top w:val="single" w:sz="4" w:space="0" w:color="auto"/>
              <w:left w:val="single" w:sz="4" w:space="0" w:color="auto"/>
              <w:bottom w:val="single" w:sz="4" w:space="0" w:color="auto"/>
              <w:right w:val="single" w:sz="4" w:space="0" w:color="auto"/>
            </w:tcBorders>
            <w:vAlign w:val="center"/>
          </w:tcPr>
          <w:p w:rsidR="003B2624" w:rsidRPr="006714E7" w:rsidRDefault="00896750" w:rsidP="006714E7">
            <w:pPr>
              <w:ind w:firstLine="34"/>
              <w:jc w:val="center"/>
              <w:rPr>
                <w:sz w:val="20"/>
                <w:szCs w:val="20"/>
                <w:lang w:val="uk-UA"/>
              </w:rPr>
            </w:pPr>
            <w:r>
              <w:rPr>
                <w:sz w:val="20"/>
                <w:szCs w:val="20"/>
                <w:lang w:val="uk-UA"/>
              </w:rPr>
              <w:t>0</w:t>
            </w:r>
          </w:p>
        </w:tc>
        <w:tc>
          <w:tcPr>
            <w:tcW w:w="1356" w:type="dxa"/>
            <w:tcBorders>
              <w:top w:val="single" w:sz="4" w:space="0" w:color="auto"/>
              <w:left w:val="single" w:sz="4" w:space="0" w:color="auto"/>
              <w:bottom w:val="single" w:sz="4" w:space="0" w:color="auto"/>
              <w:right w:val="single" w:sz="4" w:space="0" w:color="auto"/>
            </w:tcBorders>
          </w:tcPr>
          <w:p w:rsidR="003B2624" w:rsidRPr="006714E7" w:rsidRDefault="00896750" w:rsidP="00137E8E">
            <w:pPr>
              <w:ind w:firstLine="34"/>
              <w:jc w:val="center"/>
              <w:rPr>
                <w:sz w:val="20"/>
                <w:szCs w:val="20"/>
                <w:lang w:val="uk-UA"/>
              </w:rPr>
            </w:pPr>
            <w:r>
              <w:rPr>
                <w:sz w:val="20"/>
                <w:szCs w:val="20"/>
                <w:lang w:val="uk-UA"/>
              </w:rPr>
              <w:t>0</w:t>
            </w:r>
          </w:p>
        </w:tc>
        <w:tc>
          <w:tcPr>
            <w:tcW w:w="1276" w:type="dxa"/>
            <w:tcBorders>
              <w:top w:val="single" w:sz="4" w:space="0" w:color="auto"/>
              <w:left w:val="single" w:sz="4" w:space="0" w:color="auto"/>
              <w:bottom w:val="single" w:sz="4" w:space="0" w:color="auto"/>
              <w:right w:val="single" w:sz="4" w:space="0" w:color="auto"/>
            </w:tcBorders>
            <w:vAlign w:val="center"/>
          </w:tcPr>
          <w:p w:rsidR="003B2624" w:rsidRPr="006714E7" w:rsidRDefault="00896750" w:rsidP="00906B9A">
            <w:pPr>
              <w:ind w:firstLine="34"/>
              <w:jc w:val="center"/>
              <w:rPr>
                <w:sz w:val="20"/>
                <w:szCs w:val="20"/>
                <w:lang w:val="uk-UA"/>
              </w:rPr>
            </w:pPr>
            <w:r>
              <w:rPr>
                <w:sz w:val="20"/>
                <w:szCs w:val="20"/>
                <w:lang w:val="uk-UA"/>
              </w:rPr>
              <w:t>6</w:t>
            </w:r>
          </w:p>
        </w:tc>
      </w:tr>
      <w:tr w:rsidR="003B2624" w:rsidRPr="00DD57A1" w:rsidTr="00896750">
        <w:tc>
          <w:tcPr>
            <w:tcW w:w="1701" w:type="dxa"/>
            <w:tcBorders>
              <w:top w:val="single" w:sz="4" w:space="0" w:color="auto"/>
              <w:left w:val="single" w:sz="4" w:space="0" w:color="auto"/>
              <w:bottom w:val="single" w:sz="4" w:space="0" w:color="auto"/>
              <w:right w:val="single" w:sz="4" w:space="0" w:color="auto"/>
            </w:tcBorders>
            <w:vAlign w:val="center"/>
          </w:tcPr>
          <w:p w:rsidR="003B2624" w:rsidRPr="006714E7" w:rsidRDefault="003B2624" w:rsidP="002C62C6">
            <w:pPr>
              <w:ind w:firstLine="34"/>
              <w:rPr>
                <w:sz w:val="20"/>
                <w:szCs w:val="20"/>
                <w:highlight w:val="yellow"/>
                <w:lang w:val="uk-UA"/>
              </w:rPr>
            </w:pPr>
            <w:r w:rsidRPr="006714E7">
              <w:rPr>
                <w:sz w:val="20"/>
                <w:szCs w:val="20"/>
                <w:lang w:val="uk-UA"/>
              </w:rPr>
              <w:t>На 31.12.20</w:t>
            </w:r>
            <w:r>
              <w:rPr>
                <w:sz w:val="20"/>
                <w:szCs w:val="20"/>
                <w:lang w:val="uk-UA"/>
              </w:rPr>
              <w:t>2</w:t>
            </w:r>
            <w:r w:rsidR="00021C0F">
              <w:rPr>
                <w:sz w:val="20"/>
                <w:szCs w:val="20"/>
                <w:lang w:val="uk-UA"/>
              </w:rPr>
              <w:t>1</w:t>
            </w:r>
            <w:r w:rsidRPr="006714E7">
              <w:rPr>
                <w:sz w:val="20"/>
                <w:szCs w:val="20"/>
                <w:lang w:val="uk-UA"/>
              </w:rPr>
              <w:t xml:space="preserve"> р.</w:t>
            </w:r>
          </w:p>
        </w:tc>
        <w:tc>
          <w:tcPr>
            <w:tcW w:w="1134" w:type="dxa"/>
            <w:tcBorders>
              <w:top w:val="single" w:sz="4" w:space="0" w:color="auto"/>
              <w:left w:val="single" w:sz="4" w:space="0" w:color="auto"/>
              <w:bottom w:val="single" w:sz="4" w:space="0" w:color="auto"/>
              <w:right w:val="single" w:sz="4" w:space="0" w:color="auto"/>
            </w:tcBorders>
            <w:vAlign w:val="center"/>
          </w:tcPr>
          <w:p w:rsidR="003B2624" w:rsidRPr="006714E7" w:rsidRDefault="00896750" w:rsidP="00137E8E">
            <w:pPr>
              <w:ind w:firstLine="34"/>
              <w:jc w:val="center"/>
              <w:rPr>
                <w:sz w:val="20"/>
                <w:szCs w:val="20"/>
                <w:lang w:val="uk-UA"/>
              </w:rPr>
            </w:pPr>
            <w:r>
              <w:rPr>
                <w:sz w:val="20"/>
                <w:szCs w:val="20"/>
                <w:lang w:val="uk-UA"/>
              </w:rPr>
              <w:t>485</w:t>
            </w:r>
          </w:p>
        </w:tc>
        <w:tc>
          <w:tcPr>
            <w:tcW w:w="1256" w:type="dxa"/>
            <w:tcBorders>
              <w:top w:val="single" w:sz="4" w:space="0" w:color="auto"/>
              <w:left w:val="single" w:sz="4" w:space="0" w:color="auto"/>
              <w:bottom w:val="single" w:sz="4" w:space="0" w:color="auto"/>
              <w:right w:val="single" w:sz="4" w:space="0" w:color="auto"/>
            </w:tcBorders>
            <w:vAlign w:val="center"/>
          </w:tcPr>
          <w:p w:rsidR="003B2624" w:rsidRPr="006F3782" w:rsidRDefault="00896750" w:rsidP="00906B9A">
            <w:pPr>
              <w:ind w:firstLine="34"/>
              <w:jc w:val="center"/>
              <w:rPr>
                <w:sz w:val="20"/>
                <w:szCs w:val="20"/>
                <w:lang w:val="uk-UA"/>
              </w:rPr>
            </w:pPr>
            <w:r>
              <w:rPr>
                <w:sz w:val="20"/>
                <w:szCs w:val="20"/>
                <w:lang w:val="uk-UA"/>
              </w:rPr>
              <w:t>10</w:t>
            </w:r>
          </w:p>
        </w:tc>
        <w:tc>
          <w:tcPr>
            <w:tcW w:w="1256" w:type="dxa"/>
            <w:tcBorders>
              <w:top w:val="single" w:sz="4" w:space="0" w:color="auto"/>
              <w:left w:val="single" w:sz="4" w:space="0" w:color="auto"/>
              <w:bottom w:val="single" w:sz="4" w:space="0" w:color="auto"/>
              <w:right w:val="single" w:sz="4" w:space="0" w:color="auto"/>
            </w:tcBorders>
            <w:vAlign w:val="center"/>
          </w:tcPr>
          <w:p w:rsidR="003B2624" w:rsidRPr="006714E7" w:rsidRDefault="00896750" w:rsidP="00137E8E">
            <w:pPr>
              <w:ind w:firstLine="34"/>
              <w:jc w:val="center"/>
              <w:rPr>
                <w:sz w:val="20"/>
                <w:szCs w:val="20"/>
                <w:lang w:val="uk-UA"/>
              </w:rPr>
            </w:pPr>
            <w:r>
              <w:rPr>
                <w:sz w:val="20"/>
                <w:szCs w:val="20"/>
                <w:lang w:val="uk-UA"/>
              </w:rPr>
              <w:t>0</w:t>
            </w:r>
          </w:p>
        </w:tc>
        <w:tc>
          <w:tcPr>
            <w:tcW w:w="1276" w:type="dxa"/>
            <w:tcBorders>
              <w:top w:val="single" w:sz="4" w:space="0" w:color="auto"/>
              <w:left w:val="single" w:sz="4" w:space="0" w:color="auto"/>
              <w:bottom w:val="single" w:sz="4" w:space="0" w:color="auto"/>
              <w:right w:val="single" w:sz="4" w:space="0" w:color="auto"/>
            </w:tcBorders>
            <w:vAlign w:val="center"/>
          </w:tcPr>
          <w:p w:rsidR="003B2624" w:rsidRPr="006714E7" w:rsidRDefault="00896750" w:rsidP="00137E8E">
            <w:pPr>
              <w:ind w:firstLine="34"/>
              <w:jc w:val="center"/>
              <w:rPr>
                <w:sz w:val="20"/>
                <w:szCs w:val="20"/>
                <w:lang w:val="uk-UA"/>
              </w:rPr>
            </w:pPr>
            <w:r>
              <w:rPr>
                <w:sz w:val="20"/>
                <w:szCs w:val="20"/>
                <w:lang w:val="uk-UA"/>
              </w:rPr>
              <w:t>5</w:t>
            </w:r>
            <w:r w:rsidR="00A8766A">
              <w:rPr>
                <w:sz w:val="20"/>
                <w:szCs w:val="20"/>
                <w:lang w:val="uk-UA"/>
              </w:rPr>
              <w:t>8</w:t>
            </w:r>
          </w:p>
        </w:tc>
        <w:tc>
          <w:tcPr>
            <w:tcW w:w="1134" w:type="dxa"/>
            <w:tcBorders>
              <w:top w:val="single" w:sz="4" w:space="0" w:color="auto"/>
              <w:left w:val="single" w:sz="4" w:space="0" w:color="auto"/>
              <w:bottom w:val="single" w:sz="4" w:space="0" w:color="auto"/>
              <w:right w:val="single" w:sz="4" w:space="0" w:color="auto"/>
            </w:tcBorders>
            <w:vAlign w:val="center"/>
          </w:tcPr>
          <w:p w:rsidR="003B2624" w:rsidRPr="006714E7" w:rsidRDefault="00896750" w:rsidP="006714E7">
            <w:pPr>
              <w:ind w:firstLine="34"/>
              <w:jc w:val="center"/>
              <w:rPr>
                <w:sz w:val="20"/>
                <w:szCs w:val="20"/>
                <w:lang w:val="uk-UA"/>
              </w:rPr>
            </w:pPr>
            <w:r>
              <w:rPr>
                <w:sz w:val="20"/>
                <w:szCs w:val="20"/>
                <w:lang w:val="uk-UA"/>
              </w:rPr>
              <w:t>94</w:t>
            </w:r>
          </w:p>
        </w:tc>
        <w:tc>
          <w:tcPr>
            <w:tcW w:w="1356" w:type="dxa"/>
            <w:tcBorders>
              <w:top w:val="single" w:sz="4" w:space="0" w:color="auto"/>
              <w:left w:val="single" w:sz="4" w:space="0" w:color="auto"/>
              <w:bottom w:val="single" w:sz="4" w:space="0" w:color="auto"/>
              <w:right w:val="single" w:sz="4" w:space="0" w:color="auto"/>
            </w:tcBorders>
          </w:tcPr>
          <w:p w:rsidR="003B2624" w:rsidRPr="006714E7" w:rsidRDefault="00896750" w:rsidP="00896750">
            <w:pPr>
              <w:tabs>
                <w:tab w:val="left" w:pos="320"/>
                <w:tab w:val="center" w:pos="587"/>
              </w:tabs>
              <w:ind w:firstLine="34"/>
              <w:rPr>
                <w:sz w:val="20"/>
                <w:szCs w:val="20"/>
                <w:lang w:val="uk-UA"/>
              </w:rPr>
            </w:pPr>
            <w:r>
              <w:rPr>
                <w:sz w:val="20"/>
                <w:szCs w:val="20"/>
                <w:lang w:val="uk-UA"/>
              </w:rPr>
              <w:t xml:space="preserve">        0</w:t>
            </w:r>
          </w:p>
        </w:tc>
        <w:tc>
          <w:tcPr>
            <w:tcW w:w="1276" w:type="dxa"/>
            <w:tcBorders>
              <w:top w:val="single" w:sz="4" w:space="0" w:color="auto"/>
              <w:left w:val="single" w:sz="4" w:space="0" w:color="auto"/>
              <w:bottom w:val="single" w:sz="4" w:space="0" w:color="auto"/>
              <w:right w:val="single" w:sz="4" w:space="0" w:color="auto"/>
            </w:tcBorders>
            <w:vAlign w:val="center"/>
          </w:tcPr>
          <w:p w:rsidR="003B2624" w:rsidRPr="006714E7" w:rsidRDefault="00616A62" w:rsidP="00906B9A">
            <w:pPr>
              <w:ind w:firstLine="34"/>
              <w:jc w:val="center"/>
              <w:rPr>
                <w:sz w:val="20"/>
                <w:szCs w:val="20"/>
                <w:lang w:val="uk-UA"/>
              </w:rPr>
            </w:pPr>
            <w:r>
              <w:rPr>
                <w:sz w:val="20"/>
                <w:szCs w:val="20"/>
                <w:lang w:val="uk-UA"/>
              </w:rPr>
              <w:t>64</w:t>
            </w:r>
            <w:r w:rsidR="00A8766A">
              <w:rPr>
                <w:sz w:val="20"/>
                <w:szCs w:val="20"/>
                <w:lang w:val="uk-UA"/>
              </w:rPr>
              <w:t>7</w:t>
            </w:r>
          </w:p>
        </w:tc>
      </w:tr>
      <w:tr w:rsidR="00990212" w:rsidRPr="00DD57A1" w:rsidTr="00896750">
        <w:tc>
          <w:tcPr>
            <w:tcW w:w="10389" w:type="dxa"/>
            <w:gridSpan w:val="8"/>
            <w:tcBorders>
              <w:top w:val="single" w:sz="4" w:space="0" w:color="auto"/>
              <w:left w:val="single" w:sz="4" w:space="0" w:color="auto"/>
              <w:bottom w:val="single" w:sz="4" w:space="0" w:color="auto"/>
              <w:right w:val="single" w:sz="4" w:space="0" w:color="auto"/>
            </w:tcBorders>
            <w:vAlign w:val="center"/>
          </w:tcPr>
          <w:p w:rsidR="00990212" w:rsidRDefault="00990212" w:rsidP="00B75F02">
            <w:pPr>
              <w:rPr>
                <w:sz w:val="20"/>
                <w:szCs w:val="20"/>
                <w:lang w:val="uk-UA"/>
              </w:rPr>
            </w:pPr>
            <w:r>
              <w:rPr>
                <w:sz w:val="20"/>
                <w:szCs w:val="20"/>
                <w:lang w:val="uk-UA"/>
              </w:rPr>
              <w:t>Амотризація та знецінення</w:t>
            </w:r>
          </w:p>
        </w:tc>
      </w:tr>
      <w:tr w:rsidR="003B2624" w:rsidRPr="00DD57A1" w:rsidTr="00896750">
        <w:tc>
          <w:tcPr>
            <w:tcW w:w="1701" w:type="dxa"/>
            <w:tcBorders>
              <w:top w:val="single" w:sz="4" w:space="0" w:color="auto"/>
              <w:left w:val="single" w:sz="4" w:space="0" w:color="auto"/>
              <w:bottom w:val="single" w:sz="4" w:space="0" w:color="auto"/>
              <w:right w:val="single" w:sz="4" w:space="0" w:color="auto"/>
            </w:tcBorders>
            <w:vAlign w:val="center"/>
          </w:tcPr>
          <w:p w:rsidR="003B2624" w:rsidRPr="00990212" w:rsidRDefault="003B2624" w:rsidP="009038E9">
            <w:pPr>
              <w:rPr>
                <w:sz w:val="20"/>
                <w:szCs w:val="20"/>
                <w:lang w:val="uk-UA"/>
              </w:rPr>
            </w:pPr>
            <w:r w:rsidRPr="00990212">
              <w:rPr>
                <w:sz w:val="20"/>
                <w:szCs w:val="20"/>
                <w:lang w:val="uk-UA"/>
              </w:rPr>
              <w:t>Н</w:t>
            </w:r>
            <w:r w:rsidR="009038E9">
              <w:rPr>
                <w:sz w:val="20"/>
                <w:szCs w:val="20"/>
                <w:lang w:val="uk-UA"/>
              </w:rPr>
              <w:t>акопичена амортизація на</w:t>
            </w:r>
            <w:r w:rsidRPr="00990212">
              <w:rPr>
                <w:sz w:val="20"/>
                <w:szCs w:val="20"/>
                <w:lang w:val="uk-UA"/>
              </w:rPr>
              <w:t xml:space="preserve"> 31.12.20</w:t>
            </w:r>
            <w:r w:rsidR="00E62AA8">
              <w:rPr>
                <w:sz w:val="20"/>
                <w:szCs w:val="20"/>
                <w:lang w:val="uk-UA"/>
              </w:rPr>
              <w:t>20</w:t>
            </w:r>
            <w:r w:rsidRPr="00990212">
              <w:rPr>
                <w:sz w:val="20"/>
                <w:szCs w:val="20"/>
                <w:lang w:val="uk-UA"/>
              </w:rPr>
              <w:t xml:space="preserve"> р.  </w:t>
            </w:r>
          </w:p>
        </w:tc>
        <w:tc>
          <w:tcPr>
            <w:tcW w:w="1134" w:type="dxa"/>
            <w:tcBorders>
              <w:top w:val="single" w:sz="4" w:space="0" w:color="auto"/>
              <w:left w:val="single" w:sz="4" w:space="0" w:color="auto"/>
              <w:bottom w:val="single" w:sz="4" w:space="0" w:color="auto"/>
              <w:right w:val="single" w:sz="4" w:space="0" w:color="auto"/>
            </w:tcBorders>
            <w:vAlign w:val="center"/>
          </w:tcPr>
          <w:p w:rsidR="003B2624" w:rsidRPr="006714E7" w:rsidRDefault="007568CB" w:rsidP="00E704D3">
            <w:pPr>
              <w:ind w:firstLine="34"/>
              <w:jc w:val="center"/>
              <w:rPr>
                <w:sz w:val="20"/>
                <w:szCs w:val="20"/>
                <w:lang w:val="uk-UA"/>
              </w:rPr>
            </w:pPr>
            <w:r>
              <w:rPr>
                <w:sz w:val="20"/>
                <w:szCs w:val="20"/>
                <w:lang w:val="uk-UA"/>
              </w:rPr>
              <w:t>235</w:t>
            </w:r>
          </w:p>
        </w:tc>
        <w:tc>
          <w:tcPr>
            <w:tcW w:w="1256" w:type="dxa"/>
            <w:tcBorders>
              <w:top w:val="single" w:sz="4" w:space="0" w:color="auto"/>
              <w:left w:val="single" w:sz="4" w:space="0" w:color="auto"/>
              <w:bottom w:val="single" w:sz="4" w:space="0" w:color="auto"/>
              <w:right w:val="single" w:sz="4" w:space="0" w:color="auto"/>
            </w:tcBorders>
            <w:vAlign w:val="center"/>
          </w:tcPr>
          <w:p w:rsidR="003B2624" w:rsidRPr="006714E7" w:rsidRDefault="003022F1" w:rsidP="00E704D3">
            <w:pPr>
              <w:ind w:firstLine="34"/>
              <w:jc w:val="center"/>
              <w:rPr>
                <w:sz w:val="20"/>
                <w:szCs w:val="20"/>
                <w:lang w:val="uk-UA"/>
              </w:rPr>
            </w:pPr>
            <w:r>
              <w:rPr>
                <w:sz w:val="20"/>
                <w:szCs w:val="20"/>
                <w:lang w:val="uk-UA"/>
              </w:rPr>
              <w:t>5</w:t>
            </w:r>
          </w:p>
        </w:tc>
        <w:tc>
          <w:tcPr>
            <w:tcW w:w="1256" w:type="dxa"/>
            <w:tcBorders>
              <w:top w:val="single" w:sz="4" w:space="0" w:color="auto"/>
              <w:left w:val="single" w:sz="4" w:space="0" w:color="auto"/>
              <w:bottom w:val="single" w:sz="4" w:space="0" w:color="auto"/>
              <w:right w:val="single" w:sz="4" w:space="0" w:color="auto"/>
            </w:tcBorders>
            <w:vAlign w:val="center"/>
          </w:tcPr>
          <w:p w:rsidR="003B2624" w:rsidRPr="006714E7" w:rsidRDefault="003022F1" w:rsidP="00E704D3">
            <w:pPr>
              <w:ind w:firstLine="34"/>
              <w:jc w:val="center"/>
              <w:rPr>
                <w:sz w:val="20"/>
                <w:szCs w:val="20"/>
                <w:lang w:val="uk-UA"/>
              </w:rPr>
            </w:pPr>
            <w:r>
              <w:rPr>
                <w:sz w:val="20"/>
                <w:szCs w:val="20"/>
                <w:lang w:val="uk-UA"/>
              </w:rPr>
              <w:t>0</w:t>
            </w:r>
          </w:p>
        </w:tc>
        <w:tc>
          <w:tcPr>
            <w:tcW w:w="1276" w:type="dxa"/>
            <w:tcBorders>
              <w:top w:val="single" w:sz="4" w:space="0" w:color="auto"/>
              <w:left w:val="single" w:sz="4" w:space="0" w:color="auto"/>
              <w:bottom w:val="single" w:sz="4" w:space="0" w:color="auto"/>
              <w:right w:val="single" w:sz="4" w:space="0" w:color="auto"/>
            </w:tcBorders>
            <w:vAlign w:val="center"/>
          </w:tcPr>
          <w:p w:rsidR="003B2624" w:rsidRPr="006714E7" w:rsidRDefault="003022F1" w:rsidP="00E704D3">
            <w:pPr>
              <w:ind w:firstLine="34"/>
              <w:jc w:val="center"/>
              <w:rPr>
                <w:sz w:val="20"/>
                <w:szCs w:val="20"/>
                <w:lang w:val="uk-UA"/>
              </w:rPr>
            </w:pPr>
            <w:r>
              <w:rPr>
                <w:sz w:val="20"/>
                <w:szCs w:val="20"/>
                <w:lang w:val="uk-UA"/>
              </w:rPr>
              <w:t>51</w:t>
            </w:r>
          </w:p>
        </w:tc>
        <w:tc>
          <w:tcPr>
            <w:tcW w:w="1134" w:type="dxa"/>
            <w:tcBorders>
              <w:top w:val="single" w:sz="4" w:space="0" w:color="auto"/>
              <w:left w:val="single" w:sz="4" w:space="0" w:color="auto"/>
              <w:bottom w:val="single" w:sz="4" w:space="0" w:color="auto"/>
              <w:right w:val="single" w:sz="4" w:space="0" w:color="auto"/>
            </w:tcBorders>
            <w:vAlign w:val="center"/>
          </w:tcPr>
          <w:p w:rsidR="003B2624" w:rsidRPr="006714E7" w:rsidRDefault="003022F1" w:rsidP="00E704D3">
            <w:pPr>
              <w:ind w:firstLine="34"/>
              <w:jc w:val="center"/>
              <w:rPr>
                <w:sz w:val="20"/>
                <w:szCs w:val="20"/>
                <w:lang w:val="uk-UA"/>
              </w:rPr>
            </w:pPr>
            <w:r>
              <w:rPr>
                <w:sz w:val="20"/>
                <w:szCs w:val="20"/>
                <w:lang w:val="uk-UA"/>
              </w:rPr>
              <w:t>66</w:t>
            </w:r>
          </w:p>
        </w:tc>
        <w:tc>
          <w:tcPr>
            <w:tcW w:w="1356" w:type="dxa"/>
            <w:tcBorders>
              <w:top w:val="single" w:sz="4" w:space="0" w:color="auto"/>
              <w:left w:val="single" w:sz="4" w:space="0" w:color="auto"/>
              <w:bottom w:val="single" w:sz="4" w:space="0" w:color="auto"/>
              <w:right w:val="single" w:sz="4" w:space="0" w:color="auto"/>
            </w:tcBorders>
            <w:vAlign w:val="center"/>
          </w:tcPr>
          <w:p w:rsidR="003B2624" w:rsidRPr="006714E7" w:rsidRDefault="003022F1" w:rsidP="00BE41F5">
            <w:pPr>
              <w:ind w:firstLine="34"/>
              <w:jc w:val="center"/>
              <w:rPr>
                <w:sz w:val="20"/>
                <w:szCs w:val="20"/>
                <w:lang w:val="uk-UA"/>
              </w:rPr>
            </w:pPr>
            <w:r>
              <w:rPr>
                <w:sz w:val="20"/>
                <w:szCs w:val="20"/>
                <w:lang w:val="uk-UA"/>
              </w:rPr>
              <w:t>0</w:t>
            </w:r>
          </w:p>
        </w:tc>
        <w:tc>
          <w:tcPr>
            <w:tcW w:w="1276" w:type="dxa"/>
            <w:tcBorders>
              <w:top w:val="single" w:sz="4" w:space="0" w:color="auto"/>
              <w:left w:val="single" w:sz="4" w:space="0" w:color="auto"/>
              <w:bottom w:val="single" w:sz="4" w:space="0" w:color="auto"/>
              <w:right w:val="single" w:sz="4" w:space="0" w:color="auto"/>
            </w:tcBorders>
            <w:vAlign w:val="center"/>
          </w:tcPr>
          <w:p w:rsidR="003B2624" w:rsidRPr="006714E7" w:rsidRDefault="003022F1" w:rsidP="00BE0077">
            <w:pPr>
              <w:ind w:firstLine="34"/>
              <w:jc w:val="center"/>
              <w:rPr>
                <w:sz w:val="20"/>
                <w:szCs w:val="20"/>
                <w:lang w:val="uk-UA"/>
              </w:rPr>
            </w:pPr>
            <w:r>
              <w:rPr>
                <w:sz w:val="20"/>
                <w:szCs w:val="20"/>
                <w:lang w:val="uk-UA"/>
              </w:rPr>
              <w:t>357</w:t>
            </w:r>
          </w:p>
        </w:tc>
      </w:tr>
      <w:tr w:rsidR="003B2624" w:rsidRPr="00DD57A1" w:rsidTr="00896750">
        <w:tc>
          <w:tcPr>
            <w:tcW w:w="1701" w:type="dxa"/>
            <w:tcBorders>
              <w:top w:val="single" w:sz="4" w:space="0" w:color="auto"/>
              <w:left w:val="single" w:sz="4" w:space="0" w:color="auto"/>
              <w:bottom w:val="single" w:sz="4" w:space="0" w:color="auto"/>
              <w:right w:val="single" w:sz="4" w:space="0" w:color="auto"/>
            </w:tcBorders>
            <w:vAlign w:val="center"/>
          </w:tcPr>
          <w:p w:rsidR="003B2624" w:rsidRPr="00990212" w:rsidRDefault="003B2624" w:rsidP="00B75F02">
            <w:pPr>
              <w:rPr>
                <w:sz w:val="20"/>
                <w:szCs w:val="20"/>
                <w:lang w:val="uk-UA"/>
              </w:rPr>
            </w:pPr>
            <w:r w:rsidRPr="00990212">
              <w:rPr>
                <w:sz w:val="20"/>
                <w:szCs w:val="20"/>
                <w:lang w:val="uk-UA"/>
              </w:rPr>
              <w:t xml:space="preserve">Амортизаційні </w:t>
            </w:r>
            <w:r w:rsidR="009038E9">
              <w:rPr>
                <w:sz w:val="20"/>
                <w:szCs w:val="20"/>
                <w:lang w:val="uk-UA"/>
              </w:rPr>
              <w:t>нарахування</w:t>
            </w:r>
            <w:r w:rsidRPr="00990212">
              <w:rPr>
                <w:sz w:val="20"/>
                <w:szCs w:val="20"/>
                <w:lang w:val="uk-UA"/>
              </w:rPr>
              <w:t xml:space="preserve"> за рік</w:t>
            </w:r>
            <w:r w:rsidR="007568CB">
              <w:rPr>
                <w:sz w:val="20"/>
                <w:szCs w:val="20"/>
                <w:lang w:val="uk-UA"/>
              </w:rPr>
              <w:t xml:space="preserve"> 2021</w:t>
            </w:r>
          </w:p>
        </w:tc>
        <w:tc>
          <w:tcPr>
            <w:tcW w:w="1134" w:type="dxa"/>
            <w:tcBorders>
              <w:top w:val="single" w:sz="4" w:space="0" w:color="auto"/>
              <w:left w:val="single" w:sz="4" w:space="0" w:color="auto"/>
              <w:bottom w:val="single" w:sz="4" w:space="0" w:color="auto"/>
              <w:right w:val="single" w:sz="4" w:space="0" w:color="auto"/>
            </w:tcBorders>
            <w:vAlign w:val="center"/>
          </w:tcPr>
          <w:p w:rsidR="003B2624" w:rsidRPr="006714E7" w:rsidRDefault="007568CB" w:rsidP="00E704D3">
            <w:pPr>
              <w:ind w:firstLine="34"/>
              <w:jc w:val="center"/>
              <w:rPr>
                <w:sz w:val="20"/>
                <w:szCs w:val="20"/>
                <w:lang w:val="uk-UA"/>
              </w:rPr>
            </w:pPr>
            <w:r>
              <w:rPr>
                <w:sz w:val="20"/>
                <w:szCs w:val="20"/>
                <w:lang w:val="uk-UA"/>
              </w:rPr>
              <w:t>33</w:t>
            </w:r>
          </w:p>
        </w:tc>
        <w:tc>
          <w:tcPr>
            <w:tcW w:w="1256" w:type="dxa"/>
            <w:tcBorders>
              <w:top w:val="single" w:sz="4" w:space="0" w:color="auto"/>
              <w:left w:val="single" w:sz="4" w:space="0" w:color="auto"/>
              <w:bottom w:val="single" w:sz="4" w:space="0" w:color="auto"/>
              <w:right w:val="single" w:sz="4" w:space="0" w:color="auto"/>
            </w:tcBorders>
            <w:vAlign w:val="center"/>
          </w:tcPr>
          <w:p w:rsidR="003B2624" w:rsidRPr="00AD6EBE" w:rsidRDefault="007568CB" w:rsidP="00E704D3">
            <w:pPr>
              <w:ind w:firstLine="34"/>
              <w:jc w:val="center"/>
              <w:rPr>
                <w:sz w:val="20"/>
                <w:szCs w:val="20"/>
                <w:lang w:val="uk-UA"/>
              </w:rPr>
            </w:pPr>
            <w:r>
              <w:rPr>
                <w:sz w:val="20"/>
                <w:szCs w:val="20"/>
                <w:lang w:val="uk-UA"/>
              </w:rPr>
              <w:t>2</w:t>
            </w:r>
          </w:p>
        </w:tc>
        <w:tc>
          <w:tcPr>
            <w:tcW w:w="1256" w:type="dxa"/>
            <w:tcBorders>
              <w:top w:val="single" w:sz="4" w:space="0" w:color="auto"/>
              <w:left w:val="single" w:sz="4" w:space="0" w:color="auto"/>
              <w:bottom w:val="single" w:sz="4" w:space="0" w:color="auto"/>
              <w:right w:val="single" w:sz="4" w:space="0" w:color="auto"/>
            </w:tcBorders>
            <w:vAlign w:val="center"/>
          </w:tcPr>
          <w:p w:rsidR="003B2624" w:rsidRPr="006714E7" w:rsidRDefault="003022F1" w:rsidP="00E704D3">
            <w:pPr>
              <w:ind w:firstLine="34"/>
              <w:jc w:val="center"/>
              <w:rPr>
                <w:sz w:val="20"/>
                <w:szCs w:val="20"/>
                <w:lang w:val="uk-UA"/>
              </w:rPr>
            </w:pPr>
            <w:r>
              <w:rPr>
                <w:sz w:val="20"/>
                <w:szCs w:val="20"/>
                <w:lang w:val="uk-UA"/>
              </w:rPr>
              <w:t>0</w:t>
            </w:r>
          </w:p>
        </w:tc>
        <w:tc>
          <w:tcPr>
            <w:tcW w:w="1276" w:type="dxa"/>
            <w:tcBorders>
              <w:top w:val="single" w:sz="4" w:space="0" w:color="auto"/>
              <w:left w:val="single" w:sz="4" w:space="0" w:color="auto"/>
              <w:bottom w:val="single" w:sz="4" w:space="0" w:color="auto"/>
              <w:right w:val="single" w:sz="4" w:space="0" w:color="auto"/>
            </w:tcBorders>
            <w:vAlign w:val="center"/>
          </w:tcPr>
          <w:p w:rsidR="003B2624" w:rsidRPr="006F3782" w:rsidRDefault="003022F1" w:rsidP="00E704D3">
            <w:pPr>
              <w:ind w:firstLine="34"/>
              <w:jc w:val="center"/>
              <w:rPr>
                <w:sz w:val="20"/>
                <w:szCs w:val="20"/>
                <w:lang w:val="uk-UA"/>
              </w:rPr>
            </w:pPr>
            <w:r>
              <w:rPr>
                <w:sz w:val="20"/>
                <w:szCs w:val="20"/>
                <w:lang w:val="uk-UA"/>
              </w:rPr>
              <w:t>1</w:t>
            </w:r>
            <w:r w:rsidR="005803D6">
              <w:rPr>
                <w:sz w:val="20"/>
                <w:szCs w:val="20"/>
                <w:lang w:val="uk-UA"/>
              </w:rPr>
              <w:t>0</w:t>
            </w:r>
          </w:p>
        </w:tc>
        <w:tc>
          <w:tcPr>
            <w:tcW w:w="1134" w:type="dxa"/>
            <w:tcBorders>
              <w:top w:val="single" w:sz="4" w:space="0" w:color="auto"/>
              <w:left w:val="single" w:sz="4" w:space="0" w:color="auto"/>
              <w:bottom w:val="single" w:sz="4" w:space="0" w:color="auto"/>
              <w:right w:val="single" w:sz="4" w:space="0" w:color="auto"/>
            </w:tcBorders>
            <w:vAlign w:val="center"/>
          </w:tcPr>
          <w:p w:rsidR="003B2624" w:rsidRPr="006714E7" w:rsidRDefault="003022F1" w:rsidP="00E704D3">
            <w:pPr>
              <w:ind w:firstLine="34"/>
              <w:jc w:val="center"/>
              <w:rPr>
                <w:sz w:val="20"/>
                <w:szCs w:val="20"/>
                <w:lang w:val="uk-UA"/>
              </w:rPr>
            </w:pPr>
            <w:r>
              <w:rPr>
                <w:sz w:val="20"/>
                <w:szCs w:val="20"/>
                <w:lang w:val="uk-UA"/>
              </w:rPr>
              <w:t>1</w:t>
            </w:r>
            <w:r w:rsidR="00B5046C">
              <w:rPr>
                <w:sz w:val="20"/>
                <w:szCs w:val="20"/>
                <w:lang w:val="uk-UA"/>
              </w:rPr>
              <w:t>3</w:t>
            </w:r>
          </w:p>
        </w:tc>
        <w:tc>
          <w:tcPr>
            <w:tcW w:w="1356" w:type="dxa"/>
            <w:tcBorders>
              <w:top w:val="single" w:sz="4" w:space="0" w:color="auto"/>
              <w:left w:val="single" w:sz="4" w:space="0" w:color="auto"/>
              <w:bottom w:val="single" w:sz="4" w:space="0" w:color="auto"/>
              <w:right w:val="single" w:sz="4" w:space="0" w:color="auto"/>
            </w:tcBorders>
            <w:vAlign w:val="center"/>
          </w:tcPr>
          <w:p w:rsidR="003B2624" w:rsidRPr="006714E7" w:rsidRDefault="003022F1" w:rsidP="00BE41F5">
            <w:pPr>
              <w:ind w:firstLine="34"/>
              <w:jc w:val="center"/>
              <w:rPr>
                <w:sz w:val="20"/>
                <w:szCs w:val="20"/>
                <w:lang w:val="uk-UA"/>
              </w:rPr>
            </w:pPr>
            <w:r>
              <w:rPr>
                <w:sz w:val="20"/>
                <w:szCs w:val="20"/>
                <w:lang w:val="uk-UA"/>
              </w:rPr>
              <w:t>0</w:t>
            </w:r>
          </w:p>
        </w:tc>
        <w:tc>
          <w:tcPr>
            <w:tcW w:w="1276" w:type="dxa"/>
            <w:tcBorders>
              <w:top w:val="single" w:sz="4" w:space="0" w:color="auto"/>
              <w:left w:val="single" w:sz="4" w:space="0" w:color="auto"/>
              <w:bottom w:val="single" w:sz="4" w:space="0" w:color="auto"/>
              <w:right w:val="single" w:sz="4" w:space="0" w:color="auto"/>
            </w:tcBorders>
            <w:vAlign w:val="center"/>
          </w:tcPr>
          <w:p w:rsidR="003B2624" w:rsidRPr="006714E7" w:rsidRDefault="003022F1" w:rsidP="00BE41F5">
            <w:pPr>
              <w:ind w:firstLine="34"/>
              <w:jc w:val="center"/>
              <w:rPr>
                <w:sz w:val="20"/>
                <w:szCs w:val="20"/>
                <w:lang w:val="uk-UA"/>
              </w:rPr>
            </w:pPr>
            <w:r>
              <w:rPr>
                <w:sz w:val="20"/>
                <w:szCs w:val="20"/>
                <w:lang w:val="uk-UA"/>
              </w:rPr>
              <w:t>58</w:t>
            </w:r>
          </w:p>
        </w:tc>
      </w:tr>
      <w:tr w:rsidR="003B2624" w:rsidRPr="00DD57A1" w:rsidTr="00896750">
        <w:tc>
          <w:tcPr>
            <w:tcW w:w="1701" w:type="dxa"/>
            <w:tcBorders>
              <w:top w:val="single" w:sz="4" w:space="0" w:color="auto"/>
              <w:left w:val="single" w:sz="4" w:space="0" w:color="auto"/>
              <w:bottom w:val="single" w:sz="4" w:space="0" w:color="auto"/>
              <w:right w:val="single" w:sz="4" w:space="0" w:color="auto"/>
            </w:tcBorders>
            <w:vAlign w:val="center"/>
          </w:tcPr>
          <w:p w:rsidR="003B2624" w:rsidRPr="00990212" w:rsidRDefault="002C62C6" w:rsidP="002C62C6">
            <w:pPr>
              <w:rPr>
                <w:sz w:val="20"/>
                <w:szCs w:val="20"/>
                <w:lang w:val="uk-UA"/>
              </w:rPr>
            </w:pPr>
            <w:r>
              <w:rPr>
                <w:sz w:val="20"/>
                <w:szCs w:val="20"/>
                <w:lang w:val="uk-UA"/>
              </w:rPr>
              <w:t>Вибуло</w:t>
            </w:r>
            <w:r w:rsidR="00D31C90">
              <w:rPr>
                <w:sz w:val="20"/>
                <w:szCs w:val="20"/>
                <w:lang w:val="uk-UA"/>
              </w:rPr>
              <w:t xml:space="preserve"> за рік</w:t>
            </w:r>
          </w:p>
        </w:tc>
        <w:tc>
          <w:tcPr>
            <w:tcW w:w="1134" w:type="dxa"/>
            <w:tcBorders>
              <w:top w:val="single" w:sz="4" w:space="0" w:color="auto"/>
              <w:left w:val="single" w:sz="4" w:space="0" w:color="auto"/>
              <w:bottom w:val="single" w:sz="4" w:space="0" w:color="auto"/>
              <w:right w:val="single" w:sz="4" w:space="0" w:color="auto"/>
            </w:tcBorders>
            <w:vAlign w:val="center"/>
          </w:tcPr>
          <w:p w:rsidR="003B2624" w:rsidRPr="006714E7" w:rsidRDefault="003B2624" w:rsidP="00E704D3">
            <w:pPr>
              <w:ind w:firstLine="34"/>
              <w:jc w:val="center"/>
              <w:rPr>
                <w:sz w:val="20"/>
                <w:szCs w:val="20"/>
                <w:lang w:val="uk-UA"/>
              </w:rPr>
            </w:pPr>
            <w:r>
              <w:rPr>
                <w:sz w:val="20"/>
                <w:szCs w:val="20"/>
                <w:lang w:val="uk-UA"/>
              </w:rPr>
              <w:t>0</w:t>
            </w:r>
          </w:p>
        </w:tc>
        <w:tc>
          <w:tcPr>
            <w:tcW w:w="1256" w:type="dxa"/>
            <w:tcBorders>
              <w:top w:val="single" w:sz="4" w:space="0" w:color="auto"/>
              <w:left w:val="single" w:sz="4" w:space="0" w:color="auto"/>
              <w:bottom w:val="single" w:sz="4" w:space="0" w:color="auto"/>
              <w:right w:val="single" w:sz="4" w:space="0" w:color="auto"/>
            </w:tcBorders>
            <w:vAlign w:val="center"/>
          </w:tcPr>
          <w:p w:rsidR="003B2624" w:rsidRPr="006714E7" w:rsidRDefault="003022F1" w:rsidP="00E704D3">
            <w:pPr>
              <w:ind w:firstLine="34"/>
              <w:jc w:val="center"/>
              <w:rPr>
                <w:sz w:val="20"/>
                <w:szCs w:val="20"/>
                <w:lang w:val="uk-UA"/>
              </w:rPr>
            </w:pPr>
            <w:r>
              <w:rPr>
                <w:sz w:val="20"/>
                <w:szCs w:val="20"/>
                <w:lang w:val="uk-UA"/>
              </w:rPr>
              <w:t>0</w:t>
            </w:r>
          </w:p>
        </w:tc>
        <w:tc>
          <w:tcPr>
            <w:tcW w:w="1256" w:type="dxa"/>
            <w:tcBorders>
              <w:top w:val="single" w:sz="4" w:space="0" w:color="auto"/>
              <w:left w:val="single" w:sz="4" w:space="0" w:color="auto"/>
              <w:bottom w:val="single" w:sz="4" w:space="0" w:color="auto"/>
              <w:right w:val="single" w:sz="4" w:space="0" w:color="auto"/>
            </w:tcBorders>
            <w:vAlign w:val="center"/>
          </w:tcPr>
          <w:p w:rsidR="003B2624" w:rsidRPr="006714E7" w:rsidRDefault="00B90083" w:rsidP="00E704D3">
            <w:pPr>
              <w:ind w:firstLine="34"/>
              <w:jc w:val="center"/>
              <w:rPr>
                <w:sz w:val="20"/>
                <w:szCs w:val="20"/>
                <w:lang w:val="uk-UA"/>
              </w:rPr>
            </w:pPr>
            <w:r>
              <w:rPr>
                <w:sz w:val="20"/>
                <w:szCs w:val="20"/>
                <w:lang w:val="uk-UA"/>
              </w:rPr>
              <w:t>0</w:t>
            </w:r>
          </w:p>
        </w:tc>
        <w:tc>
          <w:tcPr>
            <w:tcW w:w="1276" w:type="dxa"/>
            <w:tcBorders>
              <w:top w:val="single" w:sz="4" w:space="0" w:color="auto"/>
              <w:left w:val="single" w:sz="4" w:space="0" w:color="auto"/>
              <w:bottom w:val="single" w:sz="4" w:space="0" w:color="auto"/>
              <w:right w:val="single" w:sz="4" w:space="0" w:color="auto"/>
            </w:tcBorders>
            <w:vAlign w:val="center"/>
          </w:tcPr>
          <w:p w:rsidR="003B2624" w:rsidRPr="006714E7" w:rsidRDefault="003022F1" w:rsidP="00E704D3">
            <w:pPr>
              <w:ind w:firstLine="34"/>
              <w:jc w:val="center"/>
              <w:rPr>
                <w:sz w:val="20"/>
                <w:szCs w:val="20"/>
                <w:lang w:val="uk-UA"/>
              </w:rPr>
            </w:pPr>
            <w:r>
              <w:rPr>
                <w:sz w:val="20"/>
                <w:szCs w:val="20"/>
                <w:lang w:val="uk-UA"/>
              </w:rPr>
              <w:t>6</w:t>
            </w:r>
          </w:p>
        </w:tc>
        <w:tc>
          <w:tcPr>
            <w:tcW w:w="1134" w:type="dxa"/>
            <w:tcBorders>
              <w:top w:val="single" w:sz="4" w:space="0" w:color="auto"/>
              <w:left w:val="single" w:sz="4" w:space="0" w:color="auto"/>
              <w:bottom w:val="single" w:sz="4" w:space="0" w:color="auto"/>
              <w:right w:val="single" w:sz="4" w:space="0" w:color="auto"/>
            </w:tcBorders>
            <w:vAlign w:val="center"/>
          </w:tcPr>
          <w:p w:rsidR="003B2624" w:rsidRPr="006714E7" w:rsidRDefault="003022F1" w:rsidP="00E704D3">
            <w:pPr>
              <w:ind w:firstLine="34"/>
              <w:jc w:val="center"/>
              <w:rPr>
                <w:sz w:val="20"/>
                <w:szCs w:val="20"/>
                <w:lang w:val="uk-UA"/>
              </w:rPr>
            </w:pPr>
            <w:r>
              <w:rPr>
                <w:sz w:val="20"/>
                <w:szCs w:val="20"/>
                <w:lang w:val="uk-UA"/>
              </w:rPr>
              <w:t>0</w:t>
            </w:r>
          </w:p>
        </w:tc>
        <w:tc>
          <w:tcPr>
            <w:tcW w:w="1356" w:type="dxa"/>
            <w:tcBorders>
              <w:top w:val="single" w:sz="4" w:space="0" w:color="auto"/>
              <w:left w:val="single" w:sz="4" w:space="0" w:color="auto"/>
              <w:bottom w:val="single" w:sz="4" w:space="0" w:color="auto"/>
              <w:right w:val="single" w:sz="4" w:space="0" w:color="auto"/>
            </w:tcBorders>
            <w:vAlign w:val="center"/>
          </w:tcPr>
          <w:p w:rsidR="003B2624" w:rsidRPr="006714E7" w:rsidRDefault="003022F1" w:rsidP="00BE41F5">
            <w:pPr>
              <w:ind w:firstLine="34"/>
              <w:jc w:val="center"/>
              <w:rPr>
                <w:sz w:val="20"/>
                <w:szCs w:val="20"/>
                <w:lang w:val="uk-UA"/>
              </w:rPr>
            </w:pPr>
            <w:r>
              <w:rPr>
                <w:sz w:val="20"/>
                <w:szCs w:val="20"/>
                <w:lang w:val="uk-UA"/>
              </w:rPr>
              <w:t>0</w:t>
            </w:r>
          </w:p>
        </w:tc>
        <w:tc>
          <w:tcPr>
            <w:tcW w:w="1276" w:type="dxa"/>
            <w:tcBorders>
              <w:top w:val="single" w:sz="4" w:space="0" w:color="auto"/>
              <w:left w:val="single" w:sz="4" w:space="0" w:color="auto"/>
              <w:bottom w:val="single" w:sz="4" w:space="0" w:color="auto"/>
              <w:right w:val="single" w:sz="4" w:space="0" w:color="auto"/>
            </w:tcBorders>
            <w:vAlign w:val="center"/>
          </w:tcPr>
          <w:p w:rsidR="003B2624" w:rsidRPr="006714E7" w:rsidRDefault="003022F1" w:rsidP="00BE41F5">
            <w:pPr>
              <w:ind w:firstLine="34"/>
              <w:jc w:val="center"/>
              <w:rPr>
                <w:sz w:val="20"/>
                <w:szCs w:val="20"/>
                <w:lang w:val="uk-UA"/>
              </w:rPr>
            </w:pPr>
            <w:r>
              <w:rPr>
                <w:sz w:val="20"/>
                <w:szCs w:val="20"/>
                <w:lang w:val="uk-UA"/>
              </w:rPr>
              <w:t>6</w:t>
            </w:r>
          </w:p>
        </w:tc>
      </w:tr>
      <w:tr w:rsidR="003B2624" w:rsidRPr="00DD57A1" w:rsidTr="00896750">
        <w:tc>
          <w:tcPr>
            <w:tcW w:w="1701" w:type="dxa"/>
            <w:tcBorders>
              <w:top w:val="single" w:sz="4" w:space="0" w:color="auto"/>
              <w:left w:val="single" w:sz="4" w:space="0" w:color="auto"/>
              <w:bottom w:val="single" w:sz="4" w:space="0" w:color="auto"/>
              <w:right w:val="single" w:sz="4" w:space="0" w:color="auto"/>
            </w:tcBorders>
            <w:vAlign w:val="center"/>
          </w:tcPr>
          <w:p w:rsidR="003B2624" w:rsidRPr="00990212" w:rsidRDefault="009038E9" w:rsidP="009038E9">
            <w:pPr>
              <w:rPr>
                <w:sz w:val="20"/>
                <w:szCs w:val="20"/>
                <w:lang w:val="uk-UA"/>
              </w:rPr>
            </w:pPr>
            <w:r w:rsidRPr="00990212">
              <w:rPr>
                <w:sz w:val="20"/>
                <w:szCs w:val="20"/>
                <w:lang w:val="uk-UA"/>
              </w:rPr>
              <w:t>Н</w:t>
            </w:r>
            <w:r>
              <w:rPr>
                <w:sz w:val="20"/>
                <w:szCs w:val="20"/>
                <w:lang w:val="uk-UA"/>
              </w:rPr>
              <w:t>акопичена амортизація на</w:t>
            </w:r>
            <w:r w:rsidR="003B2624" w:rsidRPr="00990212">
              <w:rPr>
                <w:sz w:val="20"/>
                <w:szCs w:val="20"/>
                <w:lang w:val="uk-UA"/>
              </w:rPr>
              <w:t xml:space="preserve"> 31.12.20</w:t>
            </w:r>
            <w:r w:rsidR="003B2624">
              <w:rPr>
                <w:sz w:val="20"/>
                <w:szCs w:val="20"/>
                <w:lang w:val="uk-UA"/>
              </w:rPr>
              <w:t>2</w:t>
            </w:r>
            <w:r w:rsidR="00E62AA8">
              <w:rPr>
                <w:sz w:val="20"/>
                <w:szCs w:val="20"/>
                <w:lang w:val="uk-UA"/>
              </w:rPr>
              <w:t>1</w:t>
            </w:r>
            <w:r w:rsidR="003B2624" w:rsidRPr="00990212">
              <w:rPr>
                <w:sz w:val="20"/>
                <w:szCs w:val="20"/>
                <w:lang w:val="uk-UA"/>
              </w:rPr>
              <w:t xml:space="preserve"> р.  </w:t>
            </w:r>
          </w:p>
        </w:tc>
        <w:tc>
          <w:tcPr>
            <w:tcW w:w="1134" w:type="dxa"/>
            <w:tcBorders>
              <w:top w:val="single" w:sz="4" w:space="0" w:color="auto"/>
              <w:left w:val="single" w:sz="4" w:space="0" w:color="auto"/>
              <w:bottom w:val="single" w:sz="4" w:space="0" w:color="auto"/>
              <w:right w:val="single" w:sz="4" w:space="0" w:color="auto"/>
            </w:tcBorders>
            <w:vAlign w:val="center"/>
          </w:tcPr>
          <w:p w:rsidR="003B2624" w:rsidRPr="006714E7" w:rsidRDefault="007568CB" w:rsidP="00E704D3">
            <w:pPr>
              <w:ind w:firstLine="34"/>
              <w:jc w:val="center"/>
              <w:rPr>
                <w:sz w:val="20"/>
                <w:szCs w:val="20"/>
                <w:lang w:val="uk-UA"/>
              </w:rPr>
            </w:pPr>
            <w:r>
              <w:rPr>
                <w:sz w:val="20"/>
                <w:szCs w:val="20"/>
                <w:lang w:val="uk-UA"/>
              </w:rPr>
              <w:t>268</w:t>
            </w:r>
          </w:p>
        </w:tc>
        <w:tc>
          <w:tcPr>
            <w:tcW w:w="1256" w:type="dxa"/>
            <w:tcBorders>
              <w:top w:val="single" w:sz="4" w:space="0" w:color="auto"/>
              <w:left w:val="single" w:sz="4" w:space="0" w:color="auto"/>
              <w:bottom w:val="single" w:sz="4" w:space="0" w:color="auto"/>
              <w:right w:val="single" w:sz="4" w:space="0" w:color="auto"/>
            </w:tcBorders>
            <w:vAlign w:val="center"/>
          </w:tcPr>
          <w:p w:rsidR="003B2624" w:rsidRPr="006714E7" w:rsidRDefault="007568CB" w:rsidP="00E704D3">
            <w:pPr>
              <w:ind w:firstLine="34"/>
              <w:jc w:val="center"/>
              <w:rPr>
                <w:sz w:val="20"/>
                <w:szCs w:val="20"/>
                <w:lang w:val="uk-UA"/>
              </w:rPr>
            </w:pPr>
            <w:r>
              <w:rPr>
                <w:sz w:val="20"/>
                <w:szCs w:val="20"/>
                <w:lang w:val="uk-UA"/>
              </w:rPr>
              <w:t>7</w:t>
            </w:r>
          </w:p>
        </w:tc>
        <w:tc>
          <w:tcPr>
            <w:tcW w:w="1256" w:type="dxa"/>
            <w:tcBorders>
              <w:top w:val="single" w:sz="4" w:space="0" w:color="auto"/>
              <w:left w:val="single" w:sz="4" w:space="0" w:color="auto"/>
              <w:bottom w:val="single" w:sz="4" w:space="0" w:color="auto"/>
              <w:right w:val="single" w:sz="4" w:space="0" w:color="auto"/>
            </w:tcBorders>
            <w:vAlign w:val="center"/>
          </w:tcPr>
          <w:p w:rsidR="003B2624" w:rsidRPr="006714E7" w:rsidRDefault="003022F1" w:rsidP="00E704D3">
            <w:pPr>
              <w:ind w:firstLine="34"/>
              <w:jc w:val="center"/>
              <w:rPr>
                <w:sz w:val="20"/>
                <w:szCs w:val="20"/>
                <w:lang w:val="uk-UA"/>
              </w:rPr>
            </w:pPr>
            <w:r>
              <w:rPr>
                <w:sz w:val="20"/>
                <w:szCs w:val="20"/>
                <w:lang w:val="uk-UA"/>
              </w:rPr>
              <w:t>0</w:t>
            </w:r>
          </w:p>
        </w:tc>
        <w:tc>
          <w:tcPr>
            <w:tcW w:w="1276" w:type="dxa"/>
            <w:tcBorders>
              <w:top w:val="single" w:sz="4" w:space="0" w:color="auto"/>
              <w:left w:val="single" w:sz="4" w:space="0" w:color="auto"/>
              <w:bottom w:val="single" w:sz="4" w:space="0" w:color="auto"/>
              <w:right w:val="single" w:sz="4" w:space="0" w:color="auto"/>
            </w:tcBorders>
            <w:vAlign w:val="center"/>
          </w:tcPr>
          <w:p w:rsidR="003B2624" w:rsidRPr="006714E7" w:rsidRDefault="005803D6" w:rsidP="00E704D3">
            <w:pPr>
              <w:ind w:firstLine="34"/>
              <w:jc w:val="center"/>
              <w:rPr>
                <w:sz w:val="20"/>
                <w:szCs w:val="20"/>
                <w:lang w:val="uk-UA"/>
              </w:rPr>
            </w:pPr>
            <w:r>
              <w:rPr>
                <w:sz w:val="20"/>
                <w:szCs w:val="20"/>
                <w:lang w:val="uk-UA"/>
              </w:rPr>
              <w:t>55</w:t>
            </w:r>
          </w:p>
        </w:tc>
        <w:tc>
          <w:tcPr>
            <w:tcW w:w="1134" w:type="dxa"/>
            <w:tcBorders>
              <w:top w:val="single" w:sz="4" w:space="0" w:color="auto"/>
              <w:left w:val="single" w:sz="4" w:space="0" w:color="auto"/>
              <w:bottom w:val="single" w:sz="4" w:space="0" w:color="auto"/>
              <w:right w:val="single" w:sz="4" w:space="0" w:color="auto"/>
            </w:tcBorders>
            <w:vAlign w:val="center"/>
          </w:tcPr>
          <w:p w:rsidR="003B2624" w:rsidRPr="006714E7" w:rsidRDefault="00A8766A" w:rsidP="00E704D3">
            <w:pPr>
              <w:ind w:firstLine="34"/>
              <w:jc w:val="center"/>
              <w:rPr>
                <w:sz w:val="20"/>
                <w:szCs w:val="20"/>
                <w:lang w:val="uk-UA"/>
              </w:rPr>
            </w:pPr>
            <w:r>
              <w:rPr>
                <w:sz w:val="20"/>
                <w:szCs w:val="20"/>
                <w:lang w:val="uk-UA"/>
              </w:rPr>
              <w:t>7</w:t>
            </w:r>
            <w:r w:rsidR="00B5046C">
              <w:rPr>
                <w:sz w:val="20"/>
                <w:szCs w:val="20"/>
                <w:lang w:val="uk-UA"/>
              </w:rPr>
              <w:t>9</w:t>
            </w:r>
          </w:p>
        </w:tc>
        <w:tc>
          <w:tcPr>
            <w:tcW w:w="1356" w:type="dxa"/>
            <w:tcBorders>
              <w:top w:val="single" w:sz="4" w:space="0" w:color="auto"/>
              <w:left w:val="single" w:sz="4" w:space="0" w:color="auto"/>
              <w:bottom w:val="single" w:sz="4" w:space="0" w:color="auto"/>
              <w:right w:val="single" w:sz="4" w:space="0" w:color="auto"/>
            </w:tcBorders>
          </w:tcPr>
          <w:p w:rsidR="003B2624" w:rsidRPr="006714E7" w:rsidRDefault="003022F1" w:rsidP="00E704D3">
            <w:pPr>
              <w:ind w:firstLine="34"/>
              <w:jc w:val="center"/>
              <w:rPr>
                <w:sz w:val="20"/>
                <w:szCs w:val="20"/>
                <w:lang w:val="uk-UA"/>
              </w:rPr>
            </w:pPr>
            <w:r>
              <w:rPr>
                <w:sz w:val="20"/>
                <w:szCs w:val="20"/>
                <w:lang w:val="uk-UA"/>
              </w:rPr>
              <w:t>0</w:t>
            </w:r>
          </w:p>
        </w:tc>
        <w:tc>
          <w:tcPr>
            <w:tcW w:w="1276" w:type="dxa"/>
            <w:tcBorders>
              <w:top w:val="single" w:sz="4" w:space="0" w:color="auto"/>
              <w:left w:val="single" w:sz="4" w:space="0" w:color="auto"/>
              <w:bottom w:val="single" w:sz="4" w:space="0" w:color="auto"/>
              <w:right w:val="single" w:sz="4" w:space="0" w:color="auto"/>
            </w:tcBorders>
            <w:vAlign w:val="center"/>
          </w:tcPr>
          <w:p w:rsidR="003B2624" w:rsidRPr="006714E7" w:rsidRDefault="003022F1" w:rsidP="00E704D3">
            <w:pPr>
              <w:ind w:firstLine="34"/>
              <w:jc w:val="center"/>
              <w:rPr>
                <w:sz w:val="20"/>
                <w:szCs w:val="20"/>
                <w:lang w:val="uk-UA"/>
              </w:rPr>
            </w:pPr>
            <w:r>
              <w:rPr>
                <w:sz w:val="20"/>
                <w:szCs w:val="20"/>
                <w:lang w:val="uk-UA"/>
              </w:rPr>
              <w:t>409</w:t>
            </w:r>
          </w:p>
        </w:tc>
      </w:tr>
      <w:tr w:rsidR="00990212" w:rsidRPr="00DD57A1" w:rsidTr="00896750">
        <w:tc>
          <w:tcPr>
            <w:tcW w:w="10389" w:type="dxa"/>
            <w:gridSpan w:val="8"/>
            <w:tcBorders>
              <w:top w:val="single" w:sz="4" w:space="0" w:color="auto"/>
              <w:left w:val="single" w:sz="4" w:space="0" w:color="auto"/>
              <w:bottom w:val="single" w:sz="4" w:space="0" w:color="auto"/>
              <w:right w:val="single" w:sz="4" w:space="0" w:color="auto"/>
            </w:tcBorders>
            <w:vAlign w:val="center"/>
          </w:tcPr>
          <w:p w:rsidR="00990212" w:rsidRPr="006714E7" w:rsidRDefault="00990212" w:rsidP="00B75F02">
            <w:pPr>
              <w:rPr>
                <w:sz w:val="20"/>
                <w:szCs w:val="20"/>
                <w:lang w:val="uk-UA"/>
              </w:rPr>
            </w:pPr>
            <w:r>
              <w:rPr>
                <w:sz w:val="20"/>
                <w:szCs w:val="20"/>
                <w:lang w:val="uk-UA"/>
              </w:rPr>
              <w:t>Балансова вартість</w:t>
            </w:r>
          </w:p>
        </w:tc>
      </w:tr>
      <w:tr w:rsidR="003B2624" w:rsidRPr="00DD57A1" w:rsidTr="00896750">
        <w:tc>
          <w:tcPr>
            <w:tcW w:w="1701" w:type="dxa"/>
            <w:tcBorders>
              <w:top w:val="single" w:sz="4" w:space="0" w:color="auto"/>
              <w:left w:val="single" w:sz="4" w:space="0" w:color="auto"/>
              <w:bottom w:val="single" w:sz="4" w:space="0" w:color="auto"/>
              <w:right w:val="single" w:sz="4" w:space="0" w:color="auto"/>
            </w:tcBorders>
            <w:vAlign w:val="center"/>
          </w:tcPr>
          <w:p w:rsidR="003B2624" w:rsidRPr="00990212" w:rsidRDefault="003B2624" w:rsidP="00B75F02">
            <w:pPr>
              <w:rPr>
                <w:sz w:val="20"/>
                <w:szCs w:val="20"/>
                <w:lang w:val="uk-UA"/>
              </w:rPr>
            </w:pPr>
            <w:r w:rsidRPr="00990212">
              <w:rPr>
                <w:sz w:val="20"/>
                <w:szCs w:val="20"/>
                <w:lang w:val="uk-UA"/>
              </w:rPr>
              <w:t>На 31.12.20</w:t>
            </w:r>
            <w:r w:rsidR="00FE106A">
              <w:rPr>
                <w:sz w:val="20"/>
                <w:szCs w:val="20"/>
                <w:lang w:val="uk-UA"/>
              </w:rPr>
              <w:t>20</w:t>
            </w:r>
            <w:r w:rsidRPr="00990212">
              <w:rPr>
                <w:sz w:val="20"/>
                <w:szCs w:val="20"/>
                <w:lang w:val="uk-UA"/>
              </w:rPr>
              <w:t xml:space="preserve"> р</w:t>
            </w:r>
            <w:r w:rsidR="001916CC">
              <w:rPr>
                <w:sz w:val="20"/>
                <w:szCs w:val="20"/>
                <w:lang w:val="uk-UA"/>
              </w:rPr>
              <w:t>.</w:t>
            </w:r>
          </w:p>
        </w:tc>
        <w:tc>
          <w:tcPr>
            <w:tcW w:w="1134" w:type="dxa"/>
            <w:tcBorders>
              <w:top w:val="single" w:sz="4" w:space="0" w:color="auto"/>
              <w:left w:val="single" w:sz="4" w:space="0" w:color="auto"/>
              <w:bottom w:val="single" w:sz="4" w:space="0" w:color="auto"/>
              <w:right w:val="single" w:sz="4" w:space="0" w:color="auto"/>
            </w:tcBorders>
            <w:vAlign w:val="center"/>
          </w:tcPr>
          <w:p w:rsidR="003B2624" w:rsidRPr="006714E7" w:rsidRDefault="007568CB" w:rsidP="00E704D3">
            <w:pPr>
              <w:ind w:firstLine="34"/>
              <w:jc w:val="center"/>
              <w:rPr>
                <w:sz w:val="20"/>
                <w:szCs w:val="20"/>
                <w:lang w:val="uk-UA"/>
              </w:rPr>
            </w:pPr>
            <w:r>
              <w:rPr>
                <w:sz w:val="20"/>
                <w:szCs w:val="20"/>
                <w:lang w:val="uk-UA"/>
              </w:rPr>
              <w:t>250</w:t>
            </w:r>
          </w:p>
        </w:tc>
        <w:tc>
          <w:tcPr>
            <w:tcW w:w="1256" w:type="dxa"/>
            <w:tcBorders>
              <w:top w:val="single" w:sz="4" w:space="0" w:color="auto"/>
              <w:left w:val="single" w:sz="4" w:space="0" w:color="auto"/>
              <w:bottom w:val="single" w:sz="4" w:space="0" w:color="auto"/>
              <w:right w:val="single" w:sz="4" w:space="0" w:color="auto"/>
            </w:tcBorders>
            <w:vAlign w:val="center"/>
          </w:tcPr>
          <w:p w:rsidR="003B2624" w:rsidRPr="006714E7" w:rsidRDefault="007568CB" w:rsidP="00E704D3">
            <w:pPr>
              <w:ind w:firstLine="34"/>
              <w:jc w:val="center"/>
              <w:rPr>
                <w:sz w:val="20"/>
                <w:szCs w:val="20"/>
                <w:lang w:val="uk-UA"/>
              </w:rPr>
            </w:pPr>
            <w:r>
              <w:rPr>
                <w:sz w:val="20"/>
                <w:szCs w:val="20"/>
                <w:lang w:val="uk-UA"/>
              </w:rPr>
              <w:t>5</w:t>
            </w:r>
          </w:p>
        </w:tc>
        <w:tc>
          <w:tcPr>
            <w:tcW w:w="1256" w:type="dxa"/>
            <w:tcBorders>
              <w:top w:val="single" w:sz="4" w:space="0" w:color="auto"/>
              <w:left w:val="single" w:sz="4" w:space="0" w:color="auto"/>
              <w:bottom w:val="single" w:sz="4" w:space="0" w:color="auto"/>
              <w:right w:val="single" w:sz="4" w:space="0" w:color="auto"/>
            </w:tcBorders>
            <w:vAlign w:val="center"/>
          </w:tcPr>
          <w:p w:rsidR="003B2624" w:rsidRPr="006714E7" w:rsidRDefault="003022F1" w:rsidP="00E704D3">
            <w:pPr>
              <w:ind w:firstLine="34"/>
              <w:jc w:val="center"/>
              <w:rPr>
                <w:sz w:val="20"/>
                <w:szCs w:val="20"/>
                <w:lang w:val="uk-UA"/>
              </w:rPr>
            </w:pPr>
            <w:r>
              <w:rPr>
                <w:sz w:val="20"/>
                <w:szCs w:val="20"/>
                <w:lang w:val="uk-UA"/>
              </w:rPr>
              <w:t>0</w:t>
            </w:r>
          </w:p>
        </w:tc>
        <w:tc>
          <w:tcPr>
            <w:tcW w:w="1276" w:type="dxa"/>
            <w:tcBorders>
              <w:top w:val="single" w:sz="4" w:space="0" w:color="auto"/>
              <w:left w:val="single" w:sz="4" w:space="0" w:color="auto"/>
              <w:bottom w:val="single" w:sz="4" w:space="0" w:color="auto"/>
              <w:right w:val="single" w:sz="4" w:space="0" w:color="auto"/>
            </w:tcBorders>
            <w:vAlign w:val="center"/>
          </w:tcPr>
          <w:p w:rsidR="003B2624" w:rsidRPr="006714E7" w:rsidRDefault="005803D6" w:rsidP="00E704D3">
            <w:pPr>
              <w:ind w:firstLine="34"/>
              <w:jc w:val="center"/>
              <w:rPr>
                <w:sz w:val="20"/>
                <w:szCs w:val="20"/>
                <w:lang w:val="uk-UA"/>
              </w:rPr>
            </w:pPr>
            <w:r>
              <w:rPr>
                <w:sz w:val="20"/>
                <w:szCs w:val="20"/>
                <w:lang w:val="uk-UA"/>
              </w:rPr>
              <w:t>14</w:t>
            </w:r>
          </w:p>
        </w:tc>
        <w:tc>
          <w:tcPr>
            <w:tcW w:w="1134" w:type="dxa"/>
            <w:tcBorders>
              <w:top w:val="single" w:sz="4" w:space="0" w:color="auto"/>
              <w:left w:val="single" w:sz="4" w:space="0" w:color="auto"/>
              <w:bottom w:val="single" w:sz="4" w:space="0" w:color="auto"/>
              <w:right w:val="single" w:sz="4" w:space="0" w:color="auto"/>
            </w:tcBorders>
            <w:vAlign w:val="center"/>
          </w:tcPr>
          <w:p w:rsidR="003B2624" w:rsidRPr="006714E7" w:rsidRDefault="005803D6" w:rsidP="00E704D3">
            <w:pPr>
              <w:ind w:firstLine="34"/>
              <w:jc w:val="center"/>
              <w:rPr>
                <w:sz w:val="20"/>
                <w:szCs w:val="20"/>
                <w:lang w:val="uk-UA"/>
              </w:rPr>
            </w:pPr>
            <w:r>
              <w:rPr>
                <w:sz w:val="20"/>
                <w:szCs w:val="20"/>
                <w:lang w:val="uk-UA"/>
              </w:rPr>
              <w:t>28</w:t>
            </w:r>
          </w:p>
        </w:tc>
        <w:tc>
          <w:tcPr>
            <w:tcW w:w="1356" w:type="dxa"/>
            <w:tcBorders>
              <w:top w:val="single" w:sz="4" w:space="0" w:color="auto"/>
              <w:left w:val="single" w:sz="4" w:space="0" w:color="auto"/>
              <w:bottom w:val="single" w:sz="4" w:space="0" w:color="auto"/>
              <w:right w:val="single" w:sz="4" w:space="0" w:color="auto"/>
            </w:tcBorders>
          </w:tcPr>
          <w:p w:rsidR="003B2624" w:rsidRPr="006714E7" w:rsidRDefault="00A8766A" w:rsidP="00E704D3">
            <w:pPr>
              <w:ind w:firstLine="34"/>
              <w:jc w:val="center"/>
              <w:rPr>
                <w:sz w:val="20"/>
                <w:szCs w:val="20"/>
                <w:lang w:val="uk-UA"/>
              </w:rPr>
            </w:pPr>
            <w:r>
              <w:rPr>
                <w:sz w:val="20"/>
                <w:szCs w:val="20"/>
                <w:lang w:val="uk-UA"/>
              </w:rPr>
              <w:t>0</w:t>
            </w:r>
          </w:p>
        </w:tc>
        <w:tc>
          <w:tcPr>
            <w:tcW w:w="1276" w:type="dxa"/>
            <w:tcBorders>
              <w:top w:val="single" w:sz="4" w:space="0" w:color="auto"/>
              <w:left w:val="single" w:sz="4" w:space="0" w:color="auto"/>
              <w:bottom w:val="single" w:sz="4" w:space="0" w:color="auto"/>
              <w:right w:val="single" w:sz="4" w:space="0" w:color="auto"/>
            </w:tcBorders>
            <w:vAlign w:val="center"/>
          </w:tcPr>
          <w:p w:rsidR="003B2624" w:rsidRPr="006714E7" w:rsidRDefault="00A8766A" w:rsidP="00E704D3">
            <w:pPr>
              <w:ind w:firstLine="34"/>
              <w:jc w:val="center"/>
              <w:rPr>
                <w:sz w:val="20"/>
                <w:szCs w:val="20"/>
                <w:lang w:val="uk-UA"/>
              </w:rPr>
            </w:pPr>
            <w:r>
              <w:rPr>
                <w:sz w:val="20"/>
                <w:szCs w:val="20"/>
                <w:lang w:val="uk-UA"/>
              </w:rPr>
              <w:t>297</w:t>
            </w:r>
          </w:p>
        </w:tc>
      </w:tr>
      <w:tr w:rsidR="003B2624" w:rsidRPr="00DD57A1" w:rsidTr="00A8766A">
        <w:trPr>
          <w:trHeight w:val="96"/>
        </w:trPr>
        <w:tc>
          <w:tcPr>
            <w:tcW w:w="1701" w:type="dxa"/>
            <w:tcBorders>
              <w:top w:val="single" w:sz="4" w:space="0" w:color="auto"/>
              <w:left w:val="single" w:sz="4" w:space="0" w:color="auto"/>
              <w:bottom w:val="single" w:sz="4" w:space="0" w:color="auto"/>
              <w:right w:val="single" w:sz="4" w:space="0" w:color="auto"/>
            </w:tcBorders>
            <w:vAlign w:val="center"/>
          </w:tcPr>
          <w:p w:rsidR="003B2624" w:rsidRPr="00990212" w:rsidRDefault="003B2624" w:rsidP="00B75F02">
            <w:pPr>
              <w:rPr>
                <w:sz w:val="20"/>
                <w:szCs w:val="20"/>
                <w:lang w:val="uk-UA"/>
              </w:rPr>
            </w:pPr>
            <w:r w:rsidRPr="00990212">
              <w:rPr>
                <w:sz w:val="20"/>
                <w:szCs w:val="20"/>
                <w:lang w:val="uk-UA"/>
              </w:rPr>
              <w:t>На 31.12.202</w:t>
            </w:r>
            <w:r w:rsidR="00FE106A">
              <w:rPr>
                <w:sz w:val="20"/>
                <w:szCs w:val="20"/>
                <w:lang w:val="uk-UA"/>
              </w:rPr>
              <w:t>1</w:t>
            </w:r>
            <w:r w:rsidRPr="00990212">
              <w:rPr>
                <w:sz w:val="20"/>
                <w:szCs w:val="20"/>
                <w:lang w:val="uk-UA"/>
              </w:rPr>
              <w:t xml:space="preserve"> р.  </w:t>
            </w:r>
          </w:p>
        </w:tc>
        <w:tc>
          <w:tcPr>
            <w:tcW w:w="1134" w:type="dxa"/>
            <w:tcBorders>
              <w:top w:val="single" w:sz="4" w:space="0" w:color="auto"/>
              <w:left w:val="single" w:sz="4" w:space="0" w:color="auto"/>
              <w:bottom w:val="single" w:sz="4" w:space="0" w:color="auto"/>
              <w:right w:val="single" w:sz="4" w:space="0" w:color="auto"/>
            </w:tcBorders>
            <w:vAlign w:val="center"/>
          </w:tcPr>
          <w:p w:rsidR="003B2624" w:rsidRPr="006714E7" w:rsidRDefault="007568CB" w:rsidP="00E704D3">
            <w:pPr>
              <w:ind w:firstLine="34"/>
              <w:jc w:val="center"/>
              <w:rPr>
                <w:sz w:val="20"/>
                <w:szCs w:val="20"/>
                <w:lang w:val="uk-UA"/>
              </w:rPr>
            </w:pPr>
            <w:r>
              <w:rPr>
                <w:sz w:val="20"/>
                <w:szCs w:val="20"/>
                <w:lang w:val="uk-UA"/>
              </w:rPr>
              <w:t>217</w:t>
            </w:r>
          </w:p>
        </w:tc>
        <w:tc>
          <w:tcPr>
            <w:tcW w:w="1256" w:type="dxa"/>
            <w:tcBorders>
              <w:top w:val="single" w:sz="4" w:space="0" w:color="auto"/>
              <w:left w:val="single" w:sz="4" w:space="0" w:color="auto"/>
              <w:bottom w:val="single" w:sz="4" w:space="0" w:color="auto"/>
              <w:right w:val="single" w:sz="4" w:space="0" w:color="auto"/>
            </w:tcBorders>
            <w:vAlign w:val="center"/>
          </w:tcPr>
          <w:p w:rsidR="003B2624" w:rsidRPr="006714E7" w:rsidRDefault="007568CB" w:rsidP="00E704D3">
            <w:pPr>
              <w:ind w:firstLine="34"/>
              <w:jc w:val="center"/>
              <w:rPr>
                <w:sz w:val="20"/>
                <w:szCs w:val="20"/>
                <w:lang w:val="uk-UA"/>
              </w:rPr>
            </w:pPr>
            <w:r>
              <w:rPr>
                <w:sz w:val="20"/>
                <w:szCs w:val="20"/>
                <w:lang w:val="uk-UA"/>
              </w:rPr>
              <w:t>3</w:t>
            </w:r>
          </w:p>
        </w:tc>
        <w:tc>
          <w:tcPr>
            <w:tcW w:w="1256" w:type="dxa"/>
            <w:tcBorders>
              <w:top w:val="single" w:sz="4" w:space="0" w:color="auto"/>
              <w:left w:val="single" w:sz="4" w:space="0" w:color="auto"/>
              <w:bottom w:val="single" w:sz="4" w:space="0" w:color="auto"/>
              <w:right w:val="single" w:sz="4" w:space="0" w:color="auto"/>
            </w:tcBorders>
            <w:vAlign w:val="center"/>
          </w:tcPr>
          <w:p w:rsidR="003B2624" w:rsidRPr="006714E7" w:rsidRDefault="00FE106A" w:rsidP="00E704D3">
            <w:pPr>
              <w:ind w:firstLine="34"/>
              <w:jc w:val="center"/>
              <w:rPr>
                <w:sz w:val="20"/>
                <w:szCs w:val="20"/>
                <w:lang w:val="uk-UA"/>
              </w:rPr>
            </w:pPr>
            <w:r>
              <w:rPr>
                <w:sz w:val="20"/>
                <w:szCs w:val="20"/>
                <w:lang w:val="uk-UA"/>
              </w:rPr>
              <w:t>0</w:t>
            </w:r>
          </w:p>
        </w:tc>
        <w:tc>
          <w:tcPr>
            <w:tcW w:w="1276" w:type="dxa"/>
            <w:tcBorders>
              <w:top w:val="single" w:sz="4" w:space="0" w:color="auto"/>
              <w:left w:val="single" w:sz="4" w:space="0" w:color="auto"/>
              <w:bottom w:val="single" w:sz="4" w:space="0" w:color="auto"/>
              <w:right w:val="single" w:sz="4" w:space="0" w:color="auto"/>
            </w:tcBorders>
            <w:vAlign w:val="center"/>
          </w:tcPr>
          <w:p w:rsidR="003B2624" w:rsidRPr="006714E7" w:rsidRDefault="005803D6" w:rsidP="00E704D3">
            <w:pPr>
              <w:ind w:firstLine="34"/>
              <w:jc w:val="center"/>
              <w:rPr>
                <w:sz w:val="20"/>
                <w:szCs w:val="20"/>
                <w:lang w:val="uk-UA"/>
              </w:rPr>
            </w:pPr>
            <w:r>
              <w:rPr>
                <w:sz w:val="20"/>
                <w:szCs w:val="20"/>
                <w:lang w:val="uk-UA"/>
              </w:rPr>
              <w:t>3</w:t>
            </w:r>
          </w:p>
        </w:tc>
        <w:tc>
          <w:tcPr>
            <w:tcW w:w="1134" w:type="dxa"/>
            <w:tcBorders>
              <w:top w:val="single" w:sz="4" w:space="0" w:color="auto"/>
              <w:left w:val="single" w:sz="4" w:space="0" w:color="auto"/>
              <w:bottom w:val="single" w:sz="4" w:space="0" w:color="auto"/>
              <w:right w:val="single" w:sz="4" w:space="0" w:color="auto"/>
            </w:tcBorders>
            <w:vAlign w:val="center"/>
          </w:tcPr>
          <w:p w:rsidR="003B2624" w:rsidRPr="006714E7" w:rsidRDefault="00B5046C" w:rsidP="00E704D3">
            <w:pPr>
              <w:ind w:firstLine="34"/>
              <w:jc w:val="center"/>
              <w:rPr>
                <w:sz w:val="20"/>
                <w:szCs w:val="20"/>
                <w:lang w:val="uk-UA"/>
              </w:rPr>
            </w:pPr>
            <w:r>
              <w:rPr>
                <w:sz w:val="20"/>
                <w:szCs w:val="20"/>
                <w:lang w:val="uk-UA"/>
              </w:rPr>
              <w:t>15</w:t>
            </w:r>
          </w:p>
        </w:tc>
        <w:tc>
          <w:tcPr>
            <w:tcW w:w="1356" w:type="dxa"/>
            <w:tcBorders>
              <w:top w:val="single" w:sz="4" w:space="0" w:color="auto"/>
              <w:left w:val="single" w:sz="4" w:space="0" w:color="auto"/>
              <w:bottom w:val="single" w:sz="4" w:space="0" w:color="auto"/>
              <w:right w:val="single" w:sz="4" w:space="0" w:color="auto"/>
            </w:tcBorders>
          </w:tcPr>
          <w:p w:rsidR="003B2624" w:rsidRPr="006714E7" w:rsidRDefault="00A8766A" w:rsidP="00E704D3">
            <w:pPr>
              <w:ind w:firstLine="34"/>
              <w:jc w:val="center"/>
              <w:rPr>
                <w:sz w:val="20"/>
                <w:szCs w:val="20"/>
                <w:lang w:val="uk-UA"/>
              </w:rPr>
            </w:pPr>
            <w:r>
              <w:rPr>
                <w:sz w:val="20"/>
                <w:szCs w:val="20"/>
                <w:lang w:val="uk-UA"/>
              </w:rPr>
              <w:t>0</w:t>
            </w:r>
          </w:p>
        </w:tc>
        <w:tc>
          <w:tcPr>
            <w:tcW w:w="1276" w:type="dxa"/>
            <w:tcBorders>
              <w:top w:val="single" w:sz="4" w:space="0" w:color="auto"/>
              <w:left w:val="single" w:sz="4" w:space="0" w:color="auto"/>
              <w:bottom w:val="single" w:sz="4" w:space="0" w:color="auto"/>
              <w:right w:val="single" w:sz="4" w:space="0" w:color="auto"/>
            </w:tcBorders>
            <w:vAlign w:val="center"/>
          </w:tcPr>
          <w:p w:rsidR="003B2624" w:rsidRPr="006714E7" w:rsidRDefault="00A8766A" w:rsidP="00E704D3">
            <w:pPr>
              <w:ind w:firstLine="34"/>
              <w:jc w:val="center"/>
              <w:rPr>
                <w:sz w:val="20"/>
                <w:szCs w:val="20"/>
                <w:lang w:val="uk-UA"/>
              </w:rPr>
            </w:pPr>
            <w:r>
              <w:rPr>
                <w:sz w:val="20"/>
                <w:szCs w:val="20"/>
                <w:lang w:val="uk-UA"/>
              </w:rPr>
              <w:t>238</w:t>
            </w:r>
          </w:p>
        </w:tc>
      </w:tr>
    </w:tbl>
    <w:p w:rsidR="00990212" w:rsidRDefault="00846581" w:rsidP="00C429BC">
      <w:pPr>
        <w:ind w:firstLine="567"/>
        <w:jc w:val="both"/>
        <w:rPr>
          <w:lang w:val="uk-UA"/>
        </w:rPr>
      </w:pPr>
      <w:r w:rsidRPr="00846581">
        <w:rPr>
          <w:lang w:val="uk-UA"/>
        </w:rPr>
        <w:t>Переоцінка об’єктів основних засобів не здійснюється</w:t>
      </w:r>
      <w:r>
        <w:rPr>
          <w:lang w:val="uk-UA"/>
        </w:rPr>
        <w:t>.</w:t>
      </w:r>
    </w:p>
    <w:p w:rsidR="00846581" w:rsidRDefault="00846581" w:rsidP="00C429BC">
      <w:pPr>
        <w:ind w:firstLine="567"/>
        <w:jc w:val="both"/>
        <w:rPr>
          <w:lang w:val="uk-UA"/>
        </w:rPr>
      </w:pPr>
    </w:p>
    <w:p w:rsidR="005D46F5" w:rsidRPr="00DD57A1" w:rsidRDefault="00A766C6" w:rsidP="005D46F5">
      <w:pPr>
        <w:ind w:left="567"/>
        <w:jc w:val="both"/>
        <w:rPr>
          <w:b/>
          <w:lang w:val="uk-UA"/>
        </w:rPr>
      </w:pPr>
      <w:r>
        <w:rPr>
          <w:b/>
          <w:lang w:val="uk-UA"/>
        </w:rPr>
        <w:t xml:space="preserve">6.3. </w:t>
      </w:r>
      <w:r w:rsidR="005D46F5">
        <w:rPr>
          <w:b/>
          <w:lang w:val="uk-UA"/>
        </w:rPr>
        <w:t>Нематеріальні активи</w:t>
      </w:r>
    </w:p>
    <w:p w:rsidR="005D46F5" w:rsidRDefault="005D46F5" w:rsidP="005D46F5">
      <w:pPr>
        <w:ind w:firstLine="567"/>
        <w:jc w:val="both"/>
        <w:rPr>
          <w:lang w:val="uk-UA"/>
        </w:rPr>
      </w:pPr>
      <w:r w:rsidRPr="00DD57A1">
        <w:rPr>
          <w:lang w:val="uk-UA"/>
        </w:rPr>
        <w:t xml:space="preserve">Зміни </w:t>
      </w:r>
      <w:r w:rsidR="0049114D">
        <w:rPr>
          <w:lang w:val="uk-UA"/>
        </w:rPr>
        <w:t>нематеріальних активів</w:t>
      </w:r>
      <w:r w:rsidRPr="00DD57A1">
        <w:rPr>
          <w:lang w:val="uk-UA"/>
        </w:rPr>
        <w:t xml:space="preserve"> </w:t>
      </w:r>
      <w:r w:rsidR="00AA2502">
        <w:rPr>
          <w:lang w:val="uk-UA"/>
        </w:rPr>
        <w:t>у</w:t>
      </w:r>
      <w:r w:rsidR="00C86E76">
        <w:rPr>
          <w:lang w:val="uk-UA"/>
        </w:rPr>
        <w:t xml:space="preserve"> 202</w:t>
      </w:r>
      <w:r w:rsidR="00D31C90">
        <w:rPr>
          <w:lang w:val="uk-UA"/>
        </w:rPr>
        <w:t>1</w:t>
      </w:r>
      <w:r w:rsidRPr="00DD57A1">
        <w:rPr>
          <w:lang w:val="uk-UA"/>
        </w:rPr>
        <w:t xml:space="preserve"> році представлені наступним чином:</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71"/>
        <w:gridCol w:w="7060"/>
      </w:tblGrid>
      <w:tr w:rsidR="00D8413B" w:rsidRPr="00A96AAC" w:rsidTr="006E20FE">
        <w:tc>
          <w:tcPr>
            <w:tcW w:w="2971" w:type="dxa"/>
            <w:shd w:val="clear" w:color="auto" w:fill="auto"/>
          </w:tcPr>
          <w:p w:rsidR="00D8413B" w:rsidRPr="00A96AAC" w:rsidRDefault="00D8413B" w:rsidP="00A96AAC">
            <w:pPr>
              <w:jc w:val="both"/>
              <w:rPr>
                <w:sz w:val="20"/>
                <w:szCs w:val="20"/>
                <w:lang w:val="uk-UA"/>
              </w:rPr>
            </w:pPr>
            <w:r w:rsidRPr="00A96AAC">
              <w:rPr>
                <w:sz w:val="20"/>
                <w:szCs w:val="20"/>
                <w:lang w:val="uk-UA"/>
              </w:rPr>
              <w:t>Первісна вартість та оцінка</w:t>
            </w:r>
          </w:p>
        </w:tc>
        <w:tc>
          <w:tcPr>
            <w:tcW w:w="7060" w:type="dxa"/>
            <w:shd w:val="clear" w:color="auto" w:fill="auto"/>
            <w:vAlign w:val="center"/>
          </w:tcPr>
          <w:p w:rsidR="00D8413B" w:rsidRPr="00A96AAC" w:rsidRDefault="00D8413B" w:rsidP="00A96AAC">
            <w:pPr>
              <w:jc w:val="center"/>
              <w:rPr>
                <w:sz w:val="20"/>
                <w:szCs w:val="20"/>
                <w:lang w:val="uk-UA"/>
              </w:rPr>
            </w:pPr>
          </w:p>
        </w:tc>
      </w:tr>
      <w:tr w:rsidR="00376292" w:rsidRPr="00A96AAC" w:rsidTr="006E20FE">
        <w:tc>
          <w:tcPr>
            <w:tcW w:w="2971" w:type="dxa"/>
            <w:shd w:val="clear" w:color="auto" w:fill="auto"/>
          </w:tcPr>
          <w:p w:rsidR="00376292" w:rsidRPr="00A96AAC" w:rsidRDefault="00376292" w:rsidP="00A96AAC">
            <w:pPr>
              <w:jc w:val="both"/>
              <w:rPr>
                <w:sz w:val="20"/>
                <w:szCs w:val="20"/>
                <w:lang w:val="uk-UA"/>
              </w:rPr>
            </w:pPr>
            <w:r w:rsidRPr="00A96AAC">
              <w:rPr>
                <w:sz w:val="20"/>
                <w:szCs w:val="20"/>
                <w:lang w:val="uk-UA"/>
              </w:rPr>
              <w:t>На 31.12.20</w:t>
            </w:r>
            <w:r w:rsidR="007607CB">
              <w:rPr>
                <w:sz w:val="20"/>
                <w:szCs w:val="20"/>
                <w:lang w:val="uk-UA"/>
              </w:rPr>
              <w:t>20</w:t>
            </w:r>
            <w:r w:rsidRPr="00A96AAC">
              <w:rPr>
                <w:sz w:val="20"/>
                <w:szCs w:val="20"/>
                <w:lang w:val="uk-UA"/>
              </w:rPr>
              <w:t xml:space="preserve"> р.</w:t>
            </w:r>
          </w:p>
        </w:tc>
        <w:tc>
          <w:tcPr>
            <w:tcW w:w="7060" w:type="dxa"/>
            <w:shd w:val="clear" w:color="auto" w:fill="auto"/>
            <w:vAlign w:val="center"/>
          </w:tcPr>
          <w:p w:rsidR="00376292" w:rsidRPr="00A96AAC" w:rsidRDefault="00791D05" w:rsidP="00A96AAC">
            <w:pPr>
              <w:jc w:val="center"/>
              <w:rPr>
                <w:sz w:val="20"/>
                <w:szCs w:val="20"/>
                <w:lang w:val="uk-UA"/>
              </w:rPr>
            </w:pPr>
            <w:r>
              <w:rPr>
                <w:sz w:val="20"/>
                <w:szCs w:val="20"/>
                <w:lang w:val="uk-UA"/>
              </w:rPr>
              <w:t>172</w:t>
            </w:r>
          </w:p>
        </w:tc>
      </w:tr>
      <w:tr w:rsidR="007607CB" w:rsidRPr="00A96AAC" w:rsidTr="006E20FE">
        <w:tc>
          <w:tcPr>
            <w:tcW w:w="2971" w:type="dxa"/>
            <w:shd w:val="clear" w:color="auto" w:fill="auto"/>
          </w:tcPr>
          <w:p w:rsidR="007607CB" w:rsidRPr="00A96AAC" w:rsidRDefault="007607CB" w:rsidP="00A96AAC">
            <w:pPr>
              <w:jc w:val="both"/>
              <w:rPr>
                <w:sz w:val="20"/>
                <w:szCs w:val="20"/>
                <w:lang w:val="uk-UA"/>
              </w:rPr>
            </w:pPr>
            <w:r w:rsidRPr="007607CB">
              <w:rPr>
                <w:sz w:val="20"/>
                <w:szCs w:val="20"/>
                <w:lang w:val="uk-UA"/>
              </w:rPr>
              <w:t>Надійшло за рік</w:t>
            </w:r>
          </w:p>
        </w:tc>
        <w:tc>
          <w:tcPr>
            <w:tcW w:w="7060" w:type="dxa"/>
            <w:shd w:val="clear" w:color="auto" w:fill="auto"/>
            <w:vAlign w:val="center"/>
          </w:tcPr>
          <w:p w:rsidR="007607CB" w:rsidRPr="00A96AAC" w:rsidRDefault="00302B9A" w:rsidP="00A96AAC">
            <w:pPr>
              <w:jc w:val="center"/>
              <w:rPr>
                <w:sz w:val="20"/>
                <w:szCs w:val="20"/>
                <w:lang w:val="uk-UA"/>
              </w:rPr>
            </w:pPr>
            <w:r>
              <w:rPr>
                <w:sz w:val="20"/>
                <w:szCs w:val="20"/>
                <w:lang w:val="uk-UA"/>
              </w:rPr>
              <w:t>52</w:t>
            </w:r>
          </w:p>
        </w:tc>
      </w:tr>
      <w:tr w:rsidR="007607CB" w:rsidRPr="00A96AAC" w:rsidTr="006E20FE">
        <w:tc>
          <w:tcPr>
            <w:tcW w:w="2971" w:type="dxa"/>
            <w:shd w:val="clear" w:color="auto" w:fill="auto"/>
          </w:tcPr>
          <w:p w:rsidR="007607CB" w:rsidRPr="00A96AAC" w:rsidRDefault="007607CB" w:rsidP="00A96AAC">
            <w:pPr>
              <w:jc w:val="both"/>
              <w:rPr>
                <w:sz w:val="20"/>
                <w:szCs w:val="20"/>
                <w:lang w:val="uk-UA"/>
              </w:rPr>
            </w:pPr>
            <w:r w:rsidRPr="007607CB">
              <w:rPr>
                <w:sz w:val="20"/>
                <w:szCs w:val="20"/>
                <w:lang w:val="uk-UA"/>
              </w:rPr>
              <w:t>Вибуло за рік</w:t>
            </w:r>
          </w:p>
        </w:tc>
        <w:tc>
          <w:tcPr>
            <w:tcW w:w="7060" w:type="dxa"/>
            <w:shd w:val="clear" w:color="auto" w:fill="auto"/>
            <w:vAlign w:val="center"/>
          </w:tcPr>
          <w:p w:rsidR="007607CB" w:rsidRPr="00A96AAC" w:rsidRDefault="00302B9A" w:rsidP="00A96AAC">
            <w:pPr>
              <w:jc w:val="center"/>
              <w:rPr>
                <w:sz w:val="20"/>
                <w:szCs w:val="20"/>
                <w:lang w:val="uk-UA"/>
              </w:rPr>
            </w:pPr>
            <w:r>
              <w:rPr>
                <w:sz w:val="20"/>
                <w:szCs w:val="20"/>
                <w:lang w:val="uk-UA"/>
              </w:rPr>
              <w:t>0</w:t>
            </w:r>
          </w:p>
        </w:tc>
      </w:tr>
      <w:tr w:rsidR="00376292" w:rsidRPr="00A96AAC" w:rsidTr="006E20FE">
        <w:tc>
          <w:tcPr>
            <w:tcW w:w="2971" w:type="dxa"/>
            <w:shd w:val="clear" w:color="auto" w:fill="auto"/>
          </w:tcPr>
          <w:p w:rsidR="00376292" w:rsidRPr="00A96AAC" w:rsidRDefault="00376292" w:rsidP="00A96AAC">
            <w:pPr>
              <w:jc w:val="both"/>
              <w:rPr>
                <w:sz w:val="20"/>
                <w:szCs w:val="20"/>
                <w:lang w:val="uk-UA"/>
              </w:rPr>
            </w:pPr>
            <w:r w:rsidRPr="00A96AAC">
              <w:rPr>
                <w:sz w:val="20"/>
                <w:szCs w:val="20"/>
                <w:lang w:val="uk-UA"/>
              </w:rPr>
              <w:t>На 31.12.202</w:t>
            </w:r>
            <w:r w:rsidR="001B3CDA">
              <w:rPr>
                <w:sz w:val="20"/>
                <w:szCs w:val="20"/>
                <w:lang w:val="uk-UA"/>
              </w:rPr>
              <w:t>1</w:t>
            </w:r>
            <w:r w:rsidRPr="00A96AAC">
              <w:rPr>
                <w:sz w:val="20"/>
                <w:szCs w:val="20"/>
                <w:lang w:val="uk-UA"/>
              </w:rPr>
              <w:t xml:space="preserve"> р.  </w:t>
            </w:r>
          </w:p>
        </w:tc>
        <w:tc>
          <w:tcPr>
            <w:tcW w:w="7060" w:type="dxa"/>
            <w:shd w:val="clear" w:color="auto" w:fill="auto"/>
            <w:vAlign w:val="center"/>
          </w:tcPr>
          <w:p w:rsidR="00376292" w:rsidRPr="00A96AAC" w:rsidRDefault="00302B9A" w:rsidP="00A96AAC">
            <w:pPr>
              <w:jc w:val="center"/>
              <w:rPr>
                <w:sz w:val="20"/>
                <w:szCs w:val="20"/>
                <w:lang w:val="uk-UA"/>
              </w:rPr>
            </w:pPr>
            <w:r>
              <w:rPr>
                <w:sz w:val="20"/>
                <w:szCs w:val="20"/>
                <w:lang w:val="uk-UA"/>
              </w:rPr>
              <w:t>224</w:t>
            </w:r>
          </w:p>
        </w:tc>
      </w:tr>
      <w:tr w:rsidR="00376292" w:rsidRPr="00A96AAC" w:rsidTr="006E20FE">
        <w:tc>
          <w:tcPr>
            <w:tcW w:w="10031" w:type="dxa"/>
            <w:gridSpan w:val="2"/>
            <w:shd w:val="clear" w:color="auto" w:fill="auto"/>
          </w:tcPr>
          <w:p w:rsidR="00376292" w:rsidRPr="00A96AAC" w:rsidRDefault="00376292" w:rsidP="00C76EA3">
            <w:pPr>
              <w:rPr>
                <w:sz w:val="20"/>
                <w:szCs w:val="20"/>
                <w:lang w:val="uk-UA"/>
              </w:rPr>
            </w:pPr>
            <w:r w:rsidRPr="00A96AAC">
              <w:rPr>
                <w:sz w:val="20"/>
                <w:szCs w:val="20"/>
                <w:lang w:val="uk-UA"/>
              </w:rPr>
              <w:t xml:space="preserve">Амотризація </w:t>
            </w:r>
          </w:p>
        </w:tc>
      </w:tr>
      <w:tr w:rsidR="00376292" w:rsidRPr="00A96AAC" w:rsidTr="006E20FE">
        <w:tc>
          <w:tcPr>
            <w:tcW w:w="2971" w:type="dxa"/>
            <w:shd w:val="clear" w:color="auto" w:fill="auto"/>
          </w:tcPr>
          <w:p w:rsidR="00376292" w:rsidRPr="00A96AAC" w:rsidRDefault="001B3CDA" w:rsidP="001B3CDA">
            <w:pPr>
              <w:rPr>
                <w:sz w:val="20"/>
                <w:szCs w:val="20"/>
                <w:lang w:val="uk-UA"/>
              </w:rPr>
            </w:pPr>
            <w:r w:rsidRPr="001B3CDA">
              <w:rPr>
                <w:sz w:val="20"/>
                <w:szCs w:val="20"/>
                <w:lang w:val="uk-UA"/>
              </w:rPr>
              <w:t>Накопичена амортизація на 31.12.2020 р</w:t>
            </w:r>
          </w:p>
        </w:tc>
        <w:tc>
          <w:tcPr>
            <w:tcW w:w="7060" w:type="dxa"/>
            <w:shd w:val="clear" w:color="auto" w:fill="auto"/>
            <w:vAlign w:val="center"/>
          </w:tcPr>
          <w:p w:rsidR="00376292" w:rsidRPr="00A96AAC" w:rsidRDefault="00302B9A" w:rsidP="00A96AAC">
            <w:pPr>
              <w:jc w:val="center"/>
              <w:rPr>
                <w:sz w:val="20"/>
                <w:szCs w:val="20"/>
                <w:lang w:val="uk-UA"/>
              </w:rPr>
            </w:pPr>
            <w:r>
              <w:rPr>
                <w:sz w:val="20"/>
                <w:szCs w:val="20"/>
                <w:lang w:val="uk-UA"/>
              </w:rPr>
              <w:t>30</w:t>
            </w:r>
          </w:p>
        </w:tc>
      </w:tr>
      <w:tr w:rsidR="001B3CDA" w:rsidRPr="00A96AAC" w:rsidTr="006E20FE">
        <w:tc>
          <w:tcPr>
            <w:tcW w:w="2971" w:type="dxa"/>
            <w:shd w:val="clear" w:color="auto" w:fill="auto"/>
          </w:tcPr>
          <w:p w:rsidR="001B3CDA" w:rsidRPr="00A96AAC" w:rsidRDefault="001B3CDA" w:rsidP="001B3CDA">
            <w:pPr>
              <w:rPr>
                <w:sz w:val="20"/>
                <w:szCs w:val="20"/>
                <w:lang w:val="uk-UA"/>
              </w:rPr>
            </w:pPr>
            <w:r w:rsidRPr="001B3CDA">
              <w:rPr>
                <w:sz w:val="20"/>
                <w:szCs w:val="20"/>
                <w:lang w:val="uk-UA"/>
              </w:rPr>
              <w:t>Амортизаційні нарахування за рік</w:t>
            </w:r>
          </w:p>
        </w:tc>
        <w:tc>
          <w:tcPr>
            <w:tcW w:w="7060" w:type="dxa"/>
            <w:shd w:val="clear" w:color="auto" w:fill="auto"/>
            <w:vAlign w:val="center"/>
          </w:tcPr>
          <w:p w:rsidR="001B3CDA" w:rsidRPr="00A96AAC" w:rsidRDefault="00302B9A" w:rsidP="00A96AAC">
            <w:pPr>
              <w:jc w:val="center"/>
              <w:rPr>
                <w:sz w:val="20"/>
                <w:szCs w:val="20"/>
                <w:lang w:val="uk-UA"/>
              </w:rPr>
            </w:pPr>
            <w:r>
              <w:rPr>
                <w:sz w:val="20"/>
                <w:szCs w:val="20"/>
                <w:lang w:val="uk-UA"/>
              </w:rPr>
              <w:t>62</w:t>
            </w:r>
          </w:p>
        </w:tc>
      </w:tr>
      <w:tr w:rsidR="001B3CDA" w:rsidRPr="00A96AAC" w:rsidTr="006E20FE">
        <w:tc>
          <w:tcPr>
            <w:tcW w:w="2971" w:type="dxa"/>
            <w:shd w:val="clear" w:color="auto" w:fill="auto"/>
          </w:tcPr>
          <w:p w:rsidR="001B3CDA" w:rsidRPr="00A96AAC" w:rsidRDefault="001B3CDA" w:rsidP="00A96AAC">
            <w:pPr>
              <w:jc w:val="both"/>
              <w:rPr>
                <w:sz w:val="20"/>
                <w:szCs w:val="20"/>
                <w:lang w:val="uk-UA"/>
              </w:rPr>
            </w:pPr>
            <w:r w:rsidRPr="001B3CDA">
              <w:rPr>
                <w:sz w:val="20"/>
                <w:szCs w:val="20"/>
                <w:lang w:val="uk-UA"/>
              </w:rPr>
              <w:t>Вибуло за рік</w:t>
            </w:r>
          </w:p>
        </w:tc>
        <w:tc>
          <w:tcPr>
            <w:tcW w:w="7060" w:type="dxa"/>
            <w:shd w:val="clear" w:color="auto" w:fill="auto"/>
            <w:vAlign w:val="center"/>
          </w:tcPr>
          <w:p w:rsidR="001B3CDA" w:rsidRPr="00A96AAC" w:rsidRDefault="001B3CDA" w:rsidP="00A96AAC">
            <w:pPr>
              <w:jc w:val="center"/>
              <w:rPr>
                <w:sz w:val="20"/>
                <w:szCs w:val="20"/>
                <w:lang w:val="uk-UA"/>
              </w:rPr>
            </w:pPr>
          </w:p>
        </w:tc>
      </w:tr>
      <w:tr w:rsidR="00376292" w:rsidRPr="00A96AAC" w:rsidTr="006E20FE">
        <w:tc>
          <w:tcPr>
            <w:tcW w:w="2971" w:type="dxa"/>
            <w:shd w:val="clear" w:color="auto" w:fill="auto"/>
          </w:tcPr>
          <w:p w:rsidR="00376292" w:rsidRPr="00A96AAC" w:rsidRDefault="00376292" w:rsidP="00A96AAC">
            <w:pPr>
              <w:jc w:val="both"/>
              <w:rPr>
                <w:sz w:val="20"/>
                <w:szCs w:val="20"/>
                <w:lang w:val="uk-UA"/>
              </w:rPr>
            </w:pPr>
            <w:r w:rsidRPr="00A96AAC">
              <w:rPr>
                <w:sz w:val="20"/>
                <w:szCs w:val="20"/>
                <w:lang w:val="uk-UA"/>
              </w:rPr>
              <w:t>На 31.12.202</w:t>
            </w:r>
            <w:r w:rsidR="001B3CDA">
              <w:rPr>
                <w:sz w:val="20"/>
                <w:szCs w:val="20"/>
                <w:lang w:val="uk-UA"/>
              </w:rPr>
              <w:t>1</w:t>
            </w:r>
            <w:r w:rsidRPr="00A96AAC">
              <w:rPr>
                <w:sz w:val="20"/>
                <w:szCs w:val="20"/>
                <w:lang w:val="uk-UA"/>
              </w:rPr>
              <w:t xml:space="preserve"> р.  </w:t>
            </w:r>
          </w:p>
        </w:tc>
        <w:tc>
          <w:tcPr>
            <w:tcW w:w="7060" w:type="dxa"/>
            <w:shd w:val="clear" w:color="auto" w:fill="auto"/>
            <w:vAlign w:val="center"/>
          </w:tcPr>
          <w:p w:rsidR="00376292" w:rsidRPr="00A96AAC" w:rsidRDefault="00302B9A" w:rsidP="00A96AAC">
            <w:pPr>
              <w:jc w:val="center"/>
              <w:rPr>
                <w:sz w:val="20"/>
                <w:szCs w:val="20"/>
                <w:lang w:val="uk-UA"/>
              </w:rPr>
            </w:pPr>
            <w:r>
              <w:rPr>
                <w:sz w:val="20"/>
                <w:szCs w:val="20"/>
                <w:lang w:val="uk-UA"/>
              </w:rPr>
              <w:t>132</w:t>
            </w:r>
          </w:p>
        </w:tc>
      </w:tr>
      <w:tr w:rsidR="00376292" w:rsidRPr="00A96AAC" w:rsidTr="006E20FE">
        <w:tc>
          <w:tcPr>
            <w:tcW w:w="10031" w:type="dxa"/>
            <w:gridSpan w:val="2"/>
            <w:shd w:val="clear" w:color="auto" w:fill="auto"/>
          </w:tcPr>
          <w:p w:rsidR="00376292" w:rsidRPr="00A96AAC" w:rsidRDefault="00376292" w:rsidP="00376292">
            <w:pPr>
              <w:rPr>
                <w:sz w:val="20"/>
                <w:szCs w:val="20"/>
                <w:lang w:val="uk-UA"/>
              </w:rPr>
            </w:pPr>
            <w:r w:rsidRPr="00A96AAC">
              <w:rPr>
                <w:sz w:val="20"/>
                <w:szCs w:val="20"/>
                <w:lang w:val="uk-UA"/>
              </w:rPr>
              <w:t>Балансова вартість</w:t>
            </w:r>
          </w:p>
        </w:tc>
      </w:tr>
      <w:tr w:rsidR="00376292" w:rsidRPr="00A96AAC" w:rsidTr="006E20FE">
        <w:tc>
          <w:tcPr>
            <w:tcW w:w="2971" w:type="dxa"/>
            <w:shd w:val="clear" w:color="auto" w:fill="auto"/>
          </w:tcPr>
          <w:p w:rsidR="00376292" w:rsidRPr="00A96AAC" w:rsidRDefault="00376292" w:rsidP="00A96AAC">
            <w:pPr>
              <w:jc w:val="both"/>
              <w:rPr>
                <w:sz w:val="20"/>
                <w:szCs w:val="20"/>
                <w:lang w:val="uk-UA"/>
              </w:rPr>
            </w:pPr>
            <w:r w:rsidRPr="00A96AAC">
              <w:rPr>
                <w:sz w:val="20"/>
                <w:szCs w:val="20"/>
                <w:lang w:val="uk-UA"/>
              </w:rPr>
              <w:t>На 31.12.20</w:t>
            </w:r>
            <w:r w:rsidR="001B3CDA">
              <w:rPr>
                <w:sz w:val="20"/>
                <w:szCs w:val="20"/>
                <w:lang w:val="uk-UA"/>
              </w:rPr>
              <w:t>20</w:t>
            </w:r>
            <w:r w:rsidRPr="00A96AAC">
              <w:rPr>
                <w:sz w:val="20"/>
                <w:szCs w:val="20"/>
                <w:lang w:val="uk-UA"/>
              </w:rPr>
              <w:t xml:space="preserve"> р.</w:t>
            </w:r>
          </w:p>
        </w:tc>
        <w:tc>
          <w:tcPr>
            <w:tcW w:w="7060" w:type="dxa"/>
            <w:shd w:val="clear" w:color="auto" w:fill="auto"/>
            <w:vAlign w:val="center"/>
          </w:tcPr>
          <w:p w:rsidR="00376292" w:rsidRPr="00A96AAC" w:rsidRDefault="00302B9A" w:rsidP="00A96AAC">
            <w:pPr>
              <w:jc w:val="center"/>
              <w:rPr>
                <w:sz w:val="20"/>
                <w:szCs w:val="20"/>
                <w:lang w:val="uk-UA"/>
              </w:rPr>
            </w:pPr>
            <w:r>
              <w:rPr>
                <w:sz w:val="20"/>
                <w:szCs w:val="20"/>
                <w:lang w:val="uk-UA"/>
              </w:rPr>
              <w:t>142</w:t>
            </w:r>
          </w:p>
        </w:tc>
      </w:tr>
      <w:tr w:rsidR="00376292" w:rsidRPr="00A96AAC" w:rsidTr="006E20FE">
        <w:tc>
          <w:tcPr>
            <w:tcW w:w="2971" w:type="dxa"/>
            <w:shd w:val="clear" w:color="auto" w:fill="auto"/>
          </w:tcPr>
          <w:p w:rsidR="00376292" w:rsidRPr="00A96AAC" w:rsidRDefault="00376292" w:rsidP="00A96AAC">
            <w:pPr>
              <w:jc w:val="both"/>
              <w:rPr>
                <w:sz w:val="20"/>
                <w:szCs w:val="20"/>
                <w:lang w:val="uk-UA"/>
              </w:rPr>
            </w:pPr>
            <w:r w:rsidRPr="00A96AAC">
              <w:rPr>
                <w:sz w:val="20"/>
                <w:szCs w:val="20"/>
                <w:lang w:val="uk-UA"/>
              </w:rPr>
              <w:t>На 31.12.202</w:t>
            </w:r>
            <w:r w:rsidR="001B3CDA">
              <w:rPr>
                <w:sz w:val="20"/>
                <w:szCs w:val="20"/>
                <w:lang w:val="uk-UA"/>
              </w:rPr>
              <w:t>1</w:t>
            </w:r>
            <w:r w:rsidRPr="00A96AAC">
              <w:rPr>
                <w:sz w:val="20"/>
                <w:szCs w:val="20"/>
                <w:lang w:val="uk-UA"/>
              </w:rPr>
              <w:t xml:space="preserve"> р.  </w:t>
            </w:r>
          </w:p>
        </w:tc>
        <w:tc>
          <w:tcPr>
            <w:tcW w:w="7060" w:type="dxa"/>
            <w:shd w:val="clear" w:color="auto" w:fill="auto"/>
            <w:vAlign w:val="center"/>
          </w:tcPr>
          <w:p w:rsidR="00376292" w:rsidRPr="00A96AAC" w:rsidRDefault="00302B9A" w:rsidP="00A96AAC">
            <w:pPr>
              <w:jc w:val="center"/>
              <w:rPr>
                <w:sz w:val="20"/>
                <w:szCs w:val="20"/>
                <w:lang w:val="uk-UA"/>
              </w:rPr>
            </w:pPr>
            <w:r>
              <w:rPr>
                <w:sz w:val="20"/>
                <w:szCs w:val="20"/>
                <w:lang w:val="uk-UA"/>
              </w:rPr>
              <w:t>132</w:t>
            </w:r>
          </w:p>
        </w:tc>
      </w:tr>
    </w:tbl>
    <w:p w:rsidR="005322E0" w:rsidRDefault="00B343C7" w:rsidP="00C429BC">
      <w:pPr>
        <w:ind w:firstLine="567"/>
        <w:jc w:val="both"/>
        <w:rPr>
          <w:lang w:val="uk-UA"/>
        </w:rPr>
      </w:pPr>
      <w:r>
        <w:rPr>
          <w:lang w:val="uk-UA"/>
        </w:rPr>
        <w:t xml:space="preserve"> </w:t>
      </w:r>
    </w:p>
    <w:p w:rsidR="00FA7F72" w:rsidRDefault="00FA7F72" w:rsidP="00C429BC">
      <w:pPr>
        <w:ind w:firstLine="567"/>
        <w:jc w:val="both"/>
        <w:rPr>
          <w:b/>
          <w:lang w:val="uk-UA"/>
        </w:rPr>
      </w:pPr>
    </w:p>
    <w:p w:rsidR="00612915" w:rsidRPr="00CC0836" w:rsidRDefault="00612915" w:rsidP="00C429BC">
      <w:pPr>
        <w:ind w:firstLine="567"/>
        <w:jc w:val="both"/>
        <w:rPr>
          <w:lang w:val="uk-UA"/>
        </w:rPr>
      </w:pPr>
    </w:p>
    <w:p w:rsidR="005E61E5" w:rsidRDefault="00B343C7" w:rsidP="00C429BC">
      <w:pPr>
        <w:ind w:firstLine="567"/>
        <w:jc w:val="both"/>
        <w:rPr>
          <w:b/>
          <w:lang w:val="uk-UA"/>
        </w:rPr>
      </w:pPr>
      <w:r>
        <w:rPr>
          <w:b/>
          <w:lang w:val="uk-UA"/>
        </w:rPr>
        <w:t>6.</w:t>
      </w:r>
      <w:r w:rsidR="00302B9A">
        <w:rPr>
          <w:b/>
          <w:lang w:val="uk-UA"/>
        </w:rPr>
        <w:t>4</w:t>
      </w:r>
      <w:r w:rsidR="00A766C6">
        <w:rPr>
          <w:b/>
          <w:lang w:val="uk-UA"/>
        </w:rPr>
        <w:t xml:space="preserve">. </w:t>
      </w:r>
      <w:r w:rsidR="005E61E5" w:rsidRPr="00DD57A1">
        <w:rPr>
          <w:b/>
          <w:lang w:val="uk-UA"/>
        </w:rPr>
        <w:t>Дебіторська заборгованість</w:t>
      </w:r>
    </w:p>
    <w:p w:rsidR="005E61E5" w:rsidRDefault="009063A0" w:rsidP="00C429BC">
      <w:pPr>
        <w:ind w:firstLine="567"/>
        <w:jc w:val="both"/>
        <w:rPr>
          <w:lang w:val="uk-UA"/>
        </w:rPr>
      </w:pPr>
      <w:r>
        <w:t>Дебіторська заборгованість згідно з балансом та в порівнянні за попередні</w:t>
      </w:r>
      <w:r w:rsidR="00BC6AE2">
        <w:rPr>
          <w:lang w:val="uk-UA"/>
        </w:rPr>
        <w:t>й</w:t>
      </w:r>
      <w:r>
        <w:t xml:space="preserve"> період, тис.грн.:</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96"/>
        <w:gridCol w:w="2142"/>
        <w:gridCol w:w="1885"/>
      </w:tblGrid>
      <w:tr w:rsidR="00A465B7" w:rsidRPr="00A96AAC" w:rsidTr="00302B9A">
        <w:trPr>
          <w:jc w:val="center"/>
        </w:trPr>
        <w:tc>
          <w:tcPr>
            <w:tcW w:w="5796" w:type="dxa"/>
            <w:shd w:val="clear" w:color="auto" w:fill="auto"/>
          </w:tcPr>
          <w:p w:rsidR="00A465B7" w:rsidRPr="00A96AAC" w:rsidRDefault="00A465B7" w:rsidP="00A465B7">
            <w:pPr>
              <w:jc w:val="center"/>
              <w:rPr>
                <w:lang w:val="uk-UA"/>
              </w:rPr>
            </w:pPr>
          </w:p>
        </w:tc>
        <w:tc>
          <w:tcPr>
            <w:tcW w:w="2142" w:type="dxa"/>
            <w:shd w:val="clear" w:color="auto" w:fill="auto"/>
          </w:tcPr>
          <w:p w:rsidR="00A465B7" w:rsidRPr="00A96AAC" w:rsidRDefault="00A465B7" w:rsidP="00A465B7">
            <w:pPr>
              <w:jc w:val="center"/>
              <w:rPr>
                <w:lang w:val="uk-UA"/>
              </w:rPr>
            </w:pPr>
            <w:r>
              <w:t>31 грудня 20</w:t>
            </w:r>
            <w:r w:rsidRPr="00A96AAC">
              <w:rPr>
                <w:lang w:val="uk-UA"/>
              </w:rPr>
              <w:t>2</w:t>
            </w:r>
            <w:r>
              <w:rPr>
                <w:lang w:val="uk-UA"/>
              </w:rPr>
              <w:t>1</w:t>
            </w:r>
          </w:p>
        </w:tc>
        <w:tc>
          <w:tcPr>
            <w:tcW w:w="1885" w:type="dxa"/>
            <w:shd w:val="clear" w:color="auto" w:fill="auto"/>
          </w:tcPr>
          <w:p w:rsidR="00A465B7" w:rsidRPr="00A96AAC" w:rsidRDefault="00A465B7" w:rsidP="00A465B7">
            <w:pPr>
              <w:jc w:val="center"/>
              <w:rPr>
                <w:lang w:val="uk-UA"/>
              </w:rPr>
            </w:pPr>
            <w:r w:rsidRPr="00A465B7">
              <w:rPr>
                <w:lang w:val="uk-UA"/>
              </w:rPr>
              <w:t>31 грудня 2020</w:t>
            </w:r>
          </w:p>
        </w:tc>
      </w:tr>
      <w:tr w:rsidR="00A465B7" w:rsidRPr="00A96AAC" w:rsidTr="00302B9A">
        <w:trPr>
          <w:jc w:val="center"/>
        </w:trPr>
        <w:tc>
          <w:tcPr>
            <w:tcW w:w="5796" w:type="dxa"/>
            <w:shd w:val="clear" w:color="auto" w:fill="auto"/>
          </w:tcPr>
          <w:p w:rsidR="00A465B7" w:rsidRPr="00A96AAC" w:rsidRDefault="00A465B7" w:rsidP="00A465B7">
            <w:pPr>
              <w:rPr>
                <w:lang w:val="uk-UA"/>
              </w:rPr>
            </w:pPr>
            <w:r>
              <w:t>Дебіторська заборгованість за товари роботи послуги</w:t>
            </w:r>
          </w:p>
          <w:p w:rsidR="00A465B7" w:rsidRPr="00A96AAC" w:rsidRDefault="00A465B7" w:rsidP="00A465B7">
            <w:pPr>
              <w:rPr>
                <w:lang w:val="uk-UA"/>
              </w:rPr>
            </w:pPr>
          </w:p>
        </w:tc>
        <w:tc>
          <w:tcPr>
            <w:tcW w:w="2142" w:type="dxa"/>
            <w:shd w:val="clear" w:color="auto" w:fill="auto"/>
            <w:vAlign w:val="center"/>
          </w:tcPr>
          <w:p w:rsidR="00A465B7" w:rsidRPr="00A96AAC" w:rsidRDefault="00302B9A" w:rsidP="00A465B7">
            <w:pPr>
              <w:jc w:val="center"/>
              <w:rPr>
                <w:lang w:val="uk-UA"/>
              </w:rPr>
            </w:pPr>
            <w:r>
              <w:rPr>
                <w:lang w:val="uk-UA"/>
              </w:rPr>
              <w:t>2</w:t>
            </w:r>
          </w:p>
        </w:tc>
        <w:tc>
          <w:tcPr>
            <w:tcW w:w="1885" w:type="dxa"/>
            <w:shd w:val="clear" w:color="auto" w:fill="auto"/>
            <w:vAlign w:val="center"/>
          </w:tcPr>
          <w:p w:rsidR="00A465B7" w:rsidRPr="00A96AAC" w:rsidRDefault="00302B9A" w:rsidP="00A465B7">
            <w:pPr>
              <w:jc w:val="center"/>
              <w:rPr>
                <w:lang w:val="uk-UA"/>
              </w:rPr>
            </w:pPr>
            <w:r>
              <w:rPr>
                <w:lang w:val="uk-UA"/>
              </w:rPr>
              <w:t>211</w:t>
            </w:r>
          </w:p>
        </w:tc>
      </w:tr>
      <w:tr w:rsidR="00302B9A" w:rsidRPr="00A96AAC" w:rsidTr="00302B9A">
        <w:trPr>
          <w:jc w:val="center"/>
        </w:trPr>
        <w:tc>
          <w:tcPr>
            <w:tcW w:w="5796" w:type="dxa"/>
            <w:shd w:val="clear" w:color="auto" w:fill="auto"/>
          </w:tcPr>
          <w:p w:rsidR="00302B9A" w:rsidRPr="00A96AAC" w:rsidRDefault="00302B9A" w:rsidP="00A465B7">
            <w:pPr>
              <w:rPr>
                <w:lang w:val="uk-UA"/>
              </w:rPr>
            </w:pPr>
            <w:r w:rsidRPr="00A96AAC">
              <w:rPr>
                <w:lang w:val="uk-UA"/>
              </w:rPr>
              <w:t xml:space="preserve">Інша дебіторська  заборгованість з виданих фінансових кредитів </w:t>
            </w:r>
          </w:p>
        </w:tc>
        <w:tc>
          <w:tcPr>
            <w:tcW w:w="2142" w:type="dxa"/>
            <w:shd w:val="clear" w:color="auto" w:fill="auto"/>
            <w:vAlign w:val="center"/>
          </w:tcPr>
          <w:p w:rsidR="00302B9A" w:rsidRPr="00A96AAC" w:rsidRDefault="00302B9A" w:rsidP="00A465B7">
            <w:pPr>
              <w:jc w:val="center"/>
              <w:rPr>
                <w:lang w:val="uk-UA"/>
              </w:rPr>
            </w:pPr>
            <w:r>
              <w:rPr>
                <w:lang w:val="uk-UA"/>
              </w:rPr>
              <w:t>57</w:t>
            </w:r>
            <w:r w:rsidR="004D282E">
              <w:rPr>
                <w:lang w:val="uk-UA"/>
              </w:rPr>
              <w:t>49</w:t>
            </w:r>
          </w:p>
        </w:tc>
        <w:tc>
          <w:tcPr>
            <w:tcW w:w="1885" w:type="dxa"/>
            <w:shd w:val="clear" w:color="auto" w:fill="auto"/>
            <w:vAlign w:val="center"/>
          </w:tcPr>
          <w:p w:rsidR="00302B9A" w:rsidRPr="00A96AAC" w:rsidRDefault="004D282E" w:rsidP="00A465B7">
            <w:pPr>
              <w:jc w:val="center"/>
              <w:rPr>
                <w:lang w:val="uk-UA"/>
              </w:rPr>
            </w:pPr>
            <w:r>
              <w:rPr>
                <w:lang w:val="uk-UA"/>
              </w:rPr>
              <w:t>3581</w:t>
            </w:r>
          </w:p>
        </w:tc>
      </w:tr>
      <w:tr w:rsidR="00302B9A" w:rsidRPr="00A96AAC" w:rsidTr="00302B9A">
        <w:trPr>
          <w:jc w:val="center"/>
        </w:trPr>
        <w:tc>
          <w:tcPr>
            <w:tcW w:w="5796" w:type="dxa"/>
            <w:shd w:val="clear" w:color="auto" w:fill="auto"/>
          </w:tcPr>
          <w:p w:rsidR="00302B9A" w:rsidRPr="00A96AAC" w:rsidRDefault="00302B9A" w:rsidP="00A465B7">
            <w:pPr>
              <w:rPr>
                <w:lang w:val="uk-UA"/>
              </w:rPr>
            </w:pPr>
            <w:r>
              <w:t>Інша поточна дебіторська заборгованість</w:t>
            </w:r>
          </w:p>
        </w:tc>
        <w:tc>
          <w:tcPr>
            <w:tcW w:w="2142" w:type="dxa"/>
            <w:shd w:val="clear" w:color="auto" w:fill="auto"/>
            <w:vAlign w:val="center"/>
          </w:tcPr>
          <w:p w:rsidR="00302B9A" w:rsidRPr="00A96AAC" w:rsidRDefault="004D282E" w:rsidP="00A465B7">
            <w:pPr>
              <w:jc w:val="center"/>
              <w:rPr>
                <w:lang w:val="uk-UA"/>
              </w:rPr>
            </w:pPr>
            <w:r>
              <w:rPr>
                <w:lang w:val="uk-UA"/>
              </w:rPr>
              <w:t>2375</w:t>
            </w:r>
          </w:p>
        </w:tc>
        <w:tc>
          <w:tcPr>
            <w:tcW w:w="1885" w:type="dxa"/>
            <w:shd w:val="clear" w:color="auto" w:fill="auto"/>
            <w:vAlign w:val="center"/>
          </w:tcPr>
          <w:p w:rsidR="00302B9A" w:rsidRPr="00A96AAC" w:rsidRDefault="004D282E" w:rsidP="00A465B7">
            <w:pPr>
              <w:jc w:val="center"/>
              <w:rPr>
                <w:lang w:val="uk-UA"/>
              </w:rPr>
            </w:pPr>
            <w:r>
              <w:rPr>
                <w:lang w:val="uk-UA"/>
              </w:rPr>
              <w:t>1424</w:t>
            </w:r>
          </w:p>
        </w:tc>
      </w:tr>
      <w:tr w:rsidR="00302B9A" w:rsidRPr="00A96AAC" w:rsidTr="00302B9A">
        <w:trPr>
          <w:jc w:val="center"/>
        </w:trPr>
        <w:tc>
          <w:tcPr>
            <w:tcW w:w="5796" w:type="dxa"/>
            <w:shd w:val="clear" w:color="auto" w:fill="auto"/>
          </w:tcPr>
          <w:p w:rsidR="00302B9A" w:rsidRPr="00A96AAC" w:rsidRDefault="00302B9A" w:rsidP="00A465B7">
            <w:pPr>
              <w:rPr>
                <w:lang w:val="uk-UA"/>
              </w:rPr>
            </w:pPr>
          </w:p>
        </w:tc>
        <w:tc>
          <w:tcPr>
            <w:tcW w:w="2142" w:type="dxa"/>
            <w:shd w:val="clear" w:color="auto" w:fill="auto"/>
            <w:vAlign w:val="center"/>
          </w:tcPr>
          <w:p w:rsidR="00302B9A" w:rsidRPr="00A96AAC" w:rsidRDefault="004D282E" w:rsidP="00A465B7">
            <w:pPr>
              <w:jc w:val="center"/>
              <w:rPr>
                <w:lang w:val="uk-UA"/>
              </w:rPr>
            </w:pPr>
            <w:r>
              <w:rPr>
                <w:lang w:val="uk-UA"/>
              </w:rPr>
              <w:t xml:space="preserve"> </w:t>
            </w:r>
          </w:p>
        </w:tc>
        <w:tc>
          <w:tcPr>
            <w:tcW w:w="1885" w:type="dxa"/>
            <w:shd w:val="clear" w:color="auto" w:fill="auto"/>
            <w:vAlign w:val="center"/>
          </w:tcPr>
          <w:p w:rsidR="00302B9A" w:rsidRPr="00A96AAC" w:rsidRDefault="004D282E" w:rsidP="00A465B7">
            <w:pPr>
              <w:jc w:val="center"/>
              <w:rPr>
                <w:lang w:val="uk-UA"/>
              </w:rPr>
            </w:pPr>
            <w:r>
              <w:rPr>
                <w:lang w:val="uk-UA"/>
              </w:rPr>
              <w:t xml:space="preserve"> </w:t>
            </w:r>
          </w:p>
        </w:tc>
      </w:tr>
    </w:tbl>
    <w:p w:rsidR="009063A0" w:rsidRDefault="00562E45" w:rsidP="00C429BC">
      <w:pPr>
        <w:ind w:firstLine="567"/>
        <w:jc w:val="both"/>
        <w:rPr>
          <w:lang w:val="uk-UA"/>
        </w:rPr>
      </w:pPr>
      <w:r>
        <w:rPr>
          <w:lang w:val="uk-UA"/>
        </w:rPr>
        <w:t xml:space="preserve">Інша </w:t>
      </w:r>
      <w:r w:rsidRPr="00DD57A1">
        <w:rPr>
          <w:lang w:val="uk-UA"/>
        </w:rPr>
        <w:t xml:space="preserve">дебіторська  заборгованість з виданих фінансових кредитів </w:t>
      </w:r>
      <w:r>
        <w:rPr>
          <w:lang w:val="uk-UA"/>
        </w:rPr>
        <w:t xml:space="preserve">становить </w:t>
      </w:r>
      <w:r w:rsidRPr="00DD57A1">
        <w:rPr>
          <w:lang w:val="uk-UA"/>
        </w:rPr>
        <w:t>підтверджена договорами фінансового кредиту</w:t>
      </w:r>
      <w:r>
        <w:rPr>
          <w:lang w:val="uk-UA"/>
        </w:rPr>
        <w:t>.</w:t>
      </w:r>
    </w:p>
    <w:p w:rsidR="00562E45" w:rsidRDefault="00562E45" w:rsidP="00C429BC">
      <w:pPr>
        <w:ind w:firstLine="567"/>
        <w:jc w:val="both"/>
        <w:rPr>
          <w:lang w:val="uk-UA"/>
        </w:rPr>
      </w:pPr>
    </w:p>
    <w:p w:rsidR="00D50B9A" w:rsidRPr="00DD57A1" w:rsidRDefault="004D282E" w:rsidP="00D50B9A">
      <w:pPr>
        <w:ind w:firstLine="567"/>
        <w:jc w:val="both"/>
        <w:rPr>
          <w:b/>
          <w:lang w:val="uk-UA"/>
        </w:rPr>
      </w:pPr>
      <w:r>
        <w:rPr>
          <w:b/>
          <w:lang w:val="uk-UA"/>
        </w:rPr>
        <w:t>6.5</w:t>
      </w:r>
      <w:r w:rsidR="00D50B9A">
        <w:rPr>
          <w:b/>
          <w:lang w:val="uk-UA"/>
        </w:rPr>
        <w:t xml:space="preserve">. </w:t>
      </w:r>
      <w:r w:rsidR="00236764" w:rsidRPr="006E4AFC">
        <w:rPr>
          <w:b/>
          <w:bCs/>
          <w:lang w:val="uk-UA"/>
        </w:rPr>
        <w:t>Резерв очікуваних кредитних збитків</w:t>
      </w:r>
      <w:r w:rsidR="00236764">
        <w:rPr>
          <w:lang w:val="uk-UA"/>
        </w:rPr>
        <w:t xml:space="preserve"> </w:t>
      </w:r>
    </w:p>
    <w:p w:rsidR="00D50B9A" w:rsidRPr="00DD57A1" w:rsidRDefault="004D282E" w:rsidP="00D50B9A">
      <w:pPr>
        <w:ind w:firstLine="567"/>
        <w:jc w:val="both"/>
        <w:rPr>
          <w:lang w:val="uk-UA"/>
        </w:rPr>
      </w:pPr>
      <w:r>
        <w:rPr>
          <w:lang w:val="uk-UA"/>
        </w:rPr>
        <w:t xml:space="preserve"> </w:t>
      </w:r>
      <w:r w:rsidR="004C34B3" w:rsidRPr="00236764">
        <w:rPr>
          <w:lang w:val="uk-UA"/>
        </w:rPr>
        <w:t xml:space="preserve"> </w:t>
      </w:r>
      <w:r w:rsidR="004C34B3">
        <w:t>Резерв кредитних збитків створений по дебіторській заборгованості за наданими кредитами</w:t>
      </w:r>
      <w:r w:rsidR="00D50B9A" w:rsidRPr="00DD57A1">
        <w:rPr>
          <w:lang w:val="uk-UA"/>
        </w:rPr>
        <w:t xml:space="preserve"> кінець </w:t>
      </w:r>
      <w:r w:rsidR="00D50B9A">
        <w:rPr>
          <w:lang w:val="uk-UA"/>
        </w:rPr>
        <w:t>2</w:t>
      </w:r>
      <w:r w:rsidR="00D50B9A" w:rsidRPr="00DD57A1">
        <w:rPr>
          <w:lang w:val="uk-UA"/>
        </w:rPr>
        <w:t>0</w:t>
      </w:r>
      <w:r w:rsidR="00D50B9A">
        <w:rPr>
          <w:lang w:val="uk-UA"/>
        </w:rPr>
        <w:t>2</w:t>
      </w:r>
      <w:r w:rsidR="006D4797">
        <w:rPr>
          <w:lang w:val="uk-UA"/>
        </w:rPr>
        <w:t>1</w:t>
      </w:r>
      <w:r>
        <w:rPr>
          <w:lang w:val="uk-UA"/>
        </w:rPr>
        <w:t xml:space="preserve"> року не створювався.</w:t>
      </w:r>
    </w:p>
    <w:p w:rsidR="00D50B9A" w:rsidRPr="009063A0" w:rsidRDefault="00D50B9A" w:rsidP="00C429BC">
      <w:pPr>
        <w:ind w:firstLine="567"/>
        <w:jc w:val="both"/>
        <w:rPr>
          <w:lang w:val="uk-UA"/>
        </w:rPr>
      </w:pPr>
    </w:p>
    <w:p w:rsidR="005E61E5" w:rsidRDefault="0020448A" w:rsidP="00C429BC">
      <w:pPr>
        <w:ind w:firstLine="567"/>
        <w:jc w:val="both"/>
        <w:rPr>
          <w:b/>
          <w:lang w:val="uk-UA"/>
        </w:rPr>
      </w:pPr>
      <w:r>
        <w:rPr>
          <w:b/>
          <w:lang w:val="uk-UA"/>
        </w:rPr>
        <w:t>6.</w:t>
      </w:r>
      <w:r w:rsidR="004D282E">
        <w:rPr>
          <w:b/>
          <w:lang w:val="uk-UA"/>
        </w:rPr>
        <w:t>6</w:t>
      </w:r>
      <w:r>
        <w:rPr>
          <w:b/>
          <w:lang w:val="uk-UA"/>
        </w:rPr>
        <w:t xml:space="preserve">. </w:t>
      </w:r>
      <w:r w:rsidR="005E61E5" w:rsidRPr="00DD57A1">
        <w:rPr>
          <w:b/>
          <w:lang w:val="uk-UA"/>
        </w:rPr>
        <w:t>Грошові кошти та їх еквіваленти</w:t>
      </w:r>
    </w:p>
    <w:p w:rsidR="008726A5" w:rsidRDefault="008726A5" w:rsidP="008726A5">
      <w:pPr>
        <w:ind w:firstLine="567"/>
        <w:jc w:val="both"/>
        <w:rPr>
          <w:lang w:val="uk-UA"/>
        </w:rPr>
      </w:pPr>
      <w:r w:rsidRPr="00E430D2">
        <w:rPr>
          <w:lang w:val="uk-UA"/>
        </w:rPr>
        <w:t>Грошові кошти та їх еквіваленти наведено в таблиці, тис.грн.:</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12"/>
        <w:gridCol w:w="2126"/>
        <w:gridCol w:w="1985"/>
      </w:tblGrid>
      <w:tr w:rsidR="00E4716D" w:rsidRPr="00A96AAC" w:rsidTr="00A96AAC">
        <w:tc>
          <w:tcPr>
            <w:tcW w:w="5812" w:type="dxa"/>
            <w:shd w:val="clear" w:color="auto" w:fill="auto"/>
          </w:tcPr>
          <w:p w:rsidR="00E4716D" w:rsidRPr="00A96AAC" w:rsidRDefault="00E4716D" w:rsidP="00A96AAC">
            <w:pPr>
              <w:jc w:val="both"/>
              <w:rPr>
                <w:lang w:val="uk-UA"/>
              </w:rPr>
            </w:pPr>
          </w:p>
        </w:tc>
        <w:tc>
          <w:tcPr>
            <w:tcW w:w="2126" w:type="dxa"/>
            <w:shd w:val="clear" w:color="auto" w:fill="auto"/>
          </w:tcPr>
          <w:p w:rsidR="00E4716D" w:rsidRPr="00271DC9" w:rsidRDefault="00E4716D" w:rsidP="00A96AAC">
            <w:pPr>
              <w:jc w:val="center"/>
              <w:rPr>
                <w:lang w:val="uk-UA"/>
              </w:rPr>
            </w:pPr>
            <w:r w:rsidRPr="00104E5D">
              <w:t>31 грудня 202</w:t>
            </w:r>
            <w:r w:rsidR="00271DC9">
              <w:rPr>
                <w:lang w:val="uk-UA"/>
              </w:rPr>
              <w:t>1</w:t>
            </w:r>
          </w:p>
        </w:tc>
        <w:tc>
          <w:tcPr>
            <w:tcW w:w="1985" w:type="dxa"/>
            <w:shd w:val="clear" w:color="auto" w:fill="auto"/>
          </w:tcPr>
          <w:p w:rsidR="00E4716D" w:rsidRPr="00271DC9" w:rsidRDefault="00E4716D" w:rsidP="00A96AAC">
            <w:pPr>
              <w:jc w:val="center"/>
              <w:rPr>
                <w:lang w:val="uk-UA"/>
              </w:rPr>
            </w:pPr>
            <w:r w:rsidRPr="00104E5D">
              <w:t>31 грудня 20</w:t>
            </w:r>
            <w:r w:rsidR="00271DC9">
              <w:rPr>
                <w:lang w:val="uk-UA"/>
              </w:rPr>
              <w:t>20</w:t>
            </w:r>
          </w:p>
        </w:tc>
      </w:tr>
      <w:tr w:rsidR="00E4716D" w:rsidRPr="00A96AAC" w:rsidTr="00A96AAC">
        <w:tc>
          <w:tcPr>
            <w:tcW w:w="5812" w:type="dxa"/>
            <w:shd w:val="clear" w:color="auto" w:fill="auto"/>
          </w:tcPr>
          <w:p w:rsidR="00E4716D" w:rsidRPr="00A96AAC" w:rsidRDefault="00E4716D" w:rsidP="00A96AAC">
            <w:pPr>
              <w:jc w:val="both"/>
              <w:rPr>
                <w:lang w:val="uk-UA"/>
              </w:rPr>
            </w:pPr>
            <w:r>
              <w:t>Грошові кошти та їх еквіваленти в національній</w:t>
            </w:r>
            <w:r w:rsidRPr="00A96AAC">
              <w:rPr>
                <w:lang w:val="uk-UA"/>
              </w:rPr>
              <w:t xml:space="preserve"> </w:t>
            </w:r>
            <w:r>
              <w:t>валюті</w:t>
            </w:r>
          </w:p>
        </w:tc>
        <w:tc>
          <w:tcPr>
            <w:tcW w:w="2126" w:type="dxa"/>
            <w:shd w:val="clear" w:color="auto" w:fill="auto"/>
            <w:vAlign w:val="center"/>
          </w:tcPr>
          <w:p w:rsidR="00E4716D" w:rsidRPr="00A96AAC" w:rsidRDefault="004D282E" w:rsidP="00A96AAC">
            <w:pPr>
              <w:jc w:val="center"/>
              <w:rPr>
                <w:lang w:val="uk-UA"/>
              </w:rPr>
            </w:pPr>
            <w:r>
              <w:rPr>
                <w:lang w:val="uk-UA"/>
              </w:rPr>
              <w:t>197</w:t>
            </w:r>
          </w:p>
        </w:tc>
        <w:tc>
          <w:tcPr>
            <w:tcW w:w="1985" w:type="dxa"/>
            <w:shd w:val="clear" w:color="auto" w:fill="auto"/>
            <w:vAlign w:val="center"/>
          </w:tcPr>
          <w:p w:rsidR="00E4716D" w:rsidRPr="00A96AAC" w:rsidRDefault="004D282E" w:rsidP="00A96AAC">
            <w:pPr>
              <w:jc w:val="center"/>
              <w:rPr>
                <w:lang w:val="uk-UA"/>
              </w:rPr>
            </w:pPr>
            <w:r>
              <w:rPr>
                <w:lang w:val="uk-UA"/>
              </w:rPr>
              <w:t>185</w:t>
            </w:r>
          </w:p>
        </w:tc>
      </w:tr>
      <w:tr w:rsidR="00E4716D" w:rsidRPr="00A96AAC" w:rsidTr="00A96AAC">
        <w:tc>
          <w:tcPr>
            <w:tcW w:w="5812" w:type="dxa"/>
            <w:shd w:val="clear" w:color="auto" w:fill="auto"/>
          </w:tcPr>
          <w:p w:rsidR="00E4716D" w:rsidRPr="00A96AAC" w:rsidRDefault="00E4716D" w:rsidP="00A96AAC">
            <w:pPr>
              <w:jc w:val="both"/>
              <w:rPr>
                <w:lang w:val="uk-UA"/>
              </w:rPr>
            </w:pPr>
            <w:r w:rsidRPr="00A96AAC">
              <w:rPr>
                <w:lang w:val="uk-UA"/>
              </w:rPr>
              <w:t>Грошові кошти та їх еквіваленти в іноземній валюті</w:t>
            </w:r>
          </w:p>
        </w:tc>
        <w:tc>
          <w:tcPr>
            <w:tcW w:w="2126" w:type="dxa"/>
            <w:shd w:val="clear" w:color="auto" w:fill="auto"/>
            <w:vAlign w:val="center"/>
          </w:tcPr>
          <w:p w:rsidR="00E4716D" w:rsidRPr="00A96AAC" w:rsidRDefault="00E4716D" w:rsidP="00A96AAC">
            <w:pPr>
              <w:jc w:val="center"/>
              <w:rPr>
                <w:lang w:val="uk-UA"/>
              </w:rPr>
            </w:pPr>
          </w:p>
        </w:tc>
        <w:tc>
          <w:tcPr>
            <w:tcW w:w="1985" w:type="dxa"/>
            <w:shd w:val="clear" w:color="auto" w:fill="auto"/>
            <w:vAlign w:val="center"/>
          </w:tcPr>
          <w:p w:rsidR="00E4716D" w:rsidRPr="00A96AAC" w:rsidRDefault="00E4716D" w:rsidP="00A96AAC">
            <w:pPr>
              <w:jc w:val="center"/>
              <w:rPr>
                <w:lang w:val="uk-UA"/>
              </w:rPr>
            </w:pPr>
          </w:p>
        </w:tc>
      </w:tr>
    </w:tbl>
    <w:p w:rsidR="00F41562" w:rsidRDefault="00F41562" w:rsidP="004D282E">
      <w:pPr>
        <w:jc w:val="both"/>
        <w:rPr>
          <w:b/>
          <w:lang w:val="uk-UA"/>
        </w:rPr>
      </w:pPr>
    </w:p>
    <w:p w:rsidR="00F41562" w:rsidRDefault="00F41562" w:rsidP="00C429BC">
      <w:pPr>
        <w:ind w:firstLine="567"/>
        <w:jc w:val="both"/>
        <w:rPr>
          <w:b/>
          <w:lang w:val="uk-UA"/>
        </w:rPr>
      </w:pPr>
    </w:p>
    <w:p w:rsidR="00C52156" w:rsidRDefault="00C52156" w:rsidP="00C429BC">
      <w:pPr>
        <w:ind w:firstLine="567"/>
        <w:jc w:val="both"/>
        <w:rPr>
          <w:lang w:val="uk-UA"/>
        </w:rPr>
      </w:pPr>
      <w:r>
        <w:t>Станом на 31 грудня 20</w:t>
      </w:r>
      <w:r>
        <w:rPr>
          <w:lang w:val="uk-UA"/>
        </w:rPr>
        <w:t>2</w:t>
      </w:r>
      <w:r w:rsidR="001E459F">
        <w:rPr>
          <w:lang w:val="uk-UA"/>
        </w:rPr>
        <w:t>1</w:t>
      </w:r>
      <w:r>
        <w:t xml:space="preserve"> року, а також на кінець 20</w:t>
      </w:r>
      <w:r w:rsidR="001E459F">
        <w:rPr>
          <w:lang w:val="uk-UA"/>
        </w:rPr>
        <w:t>20</w:t>
      </w:r>
      <w:r>
        <w:t xml:space="preserve"> року справедлива вартість грошових коштів та їх еквівалентів дорівнює їх номінальній вартості</w:t>
      </w:r>
    </w:p>
    <w:p w:rsidR="005E61E5" w:rsidRPr="00DD57A1" w:rsidRDefault="005E61E5" w:rsidP="00C429BC">
      <w:pPr>
        <w:ind w:firstLine="567"/>
        <w:jc w:val="both"/>
        <w:rPr>
          <w:lang w:val="uk-UA"/>
        </w:rPr>
      </w:pPr>
      <w:r w:rsidRPr="00DD57A1">
        <w:rPr>
          <w:lang w:val="uk-UA"/>
        </w:rPr>
        <w:t>Обмеження щодо використання коштів відсутні.</w:t>
      </w:r>
    </w:p>
    <w:p w:rsidR="005E61E5" w:rsidRPr="00DD57A1" w:rsidRDefault="005E61E5" w:rsidP="00C429BC">
      <w:pPr>
        <w:ind w:firstLine="567"/>
        <w:jc w:val="both"/>
        <w:rPr>
          <w:b/>
          <w:lang w:val="uk-UA"/>
        </w:rPr>
      </w:pPr>
    </w:p>
    <w:p w:rsidR="005E61E5" w:rsidRDefault="0020448A" w:rsidP="00C429BC">
      <w:pPr>
        <w:ind w:firstLine="567"/>
        <w:jc w:val="both"/>
        <w:rPr>
          <w:b/>
          <w:lang w:val="uk-UA"/>
        </w:rPr>
      </w:pPr>
      <w:r>
        <w:rPr>
          <w:b/>
          <w:lang w:val="uk-UA"/>
        </w:rPr>
        <w:t>6.</w:t>
      </w:r>
      <w:r w:rsidR="00621E47">
        <w:rPr>
          <w:b/>
          <w:lang w:val="uk-UA"/>
        </w:rPr>
        <w:t>7</w:t>
      </w:r>
      <w:r>
        <w:rPr>
          <w:b/>
          <w:lang w:val="uk-UA"/>
        </w:rPr>
        <w:t xml:space="preserve">. </w:t>
      </w:r>
      <w:r w:rsidR="005E61E5" w:rsidRPr="00DD57A1">
        <w:rPr>
          <w:b/>
          <w:lang w:val="uk-UA"/>
        </w:rPr>
        <w:t>Власний капітал</w:t>
      </w:r>
    </w:p>
    <w:p w:rsidR="00D96340" w:rsidRDefault="00D96340" w:rsidP="00C429BC">
      <w:pPr>
        <w:ind w:firstLine="567"/>
        <w:jc w:val="both"/>
        <w:rPr>
          <w:lang w:val="uk-UA"/>
        </w:rPr>
      </w:pPr>
      <w:r>
        <w:t>Власний капітал відображений в балансі наступним чином, тис.грн.:</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12"/>
        <w:gridCol w:w="2126"/>
        <w:gridCol w:w="1985"/>
      </w:tblGrid>
      <w:tr w:rsidR="00D822A3" w:rsidRPr="00A96AAC" w:rsidTr="00A96AAC">
        <w:tc>
          <w:tcPr>
            <w:tcW w:w="5812" w:type="dxa"/>
            <w:shd w:val="clear" w:color="auto" w:fill="auto"/>
          </w:tcPr>
          <w:p w:rsidR="00D822A3" w:rsidRPr="00E01BAA" w:rsidRDefault="00D822A3" w:rsidP="00D822A3">
            <w:pPr>
              <w:jc w:val="center"/>
            </w:pPr>
          </w:p>
        </w:tc>
        <w:tc>
          <w:tcPr>
            <w:tcW w:w="2126" w:type="dxa"/>
            <w:shd w:val="clear" w:color="auto" w:fill="auto"/>
          </w:tcPr>
          <w:p w:rsidR="00D822A3" w:rsidRPr="00D822A3" w:rsidRDefault="00D822A3" w:rsidP="00D822A3">
            <w:pPr>
              <w:jc w:val="center"/>
              <w:rPr>
                <w:lang w:val="uk-UA"/>
              </w:rPr>
            </w:pPr>
            <w:r w:rsidRPr="00E01BAA">
              <w:t>31 грудня 202</w:t>
            </w:r>
            <w:r>
              <w:rPr>
                <w:lang w:val="uk-UA"/>
              </w:rPr>
              <w:t>1</w:t>
            </w:r>
          </w:p>
        </w:tc>
        <w:tc>
          <w:tcPr>
            <w:tcW w:w="1985" w:type="dxa"/>
            <w:shd w:val="clear" w:color="auto" w:fill="auto"/>
          </w:tcPr>
          <w:p w:rsidR="00D822A3" w:rsidRPr="00E01BAA" w:rsidRDefault="00D822A3" w:rsidP="00D822A3">
            <w:pPr>
              <w:jc w:val="center"/>
            </w:pPr>
            <w:r w:rsidRPr="000340C1">
              <w:t>31 грудня 2020</w:t>
            </w:r>
          </w:p>
        </w:tc>
      </w:tr>
      <w:tr w:rsidR="00D822A3" w:rsidRPr="00A96AAC" w:rsidTr="00710B2C">
        <w:tc>
          <w:tcPr>
            <w:tcW w:w="5812" w:type="dxa"/>
            <w:shd w:val="clear" w:color="auto" w:fill="auto"/>
          </w:tcPr>
          <w:p w:rsidR="00D822A3" w:rsidRPr="00A96AAC" w:rsidRDefault="00D822A3" w:rsidP="00D822A3">
            <w:pPr>
              <w:jc w:val="both"/>
              <w:rPr>
                <w:b/>
                <w:lang w:val="uk-UA"/>
              </w:rPr>
            </w:pPr>
            <w:r>
              <w:t>Статутний капітал</w:t>
            </w:r>
          </w:p>
        </w:tc>
        <w:tc>
          <w:tcPr>
            <w:tcW w:w="2126" w:type="dxa"/>
            <w:shd w:val="clear" w:color="auto" w:fill="auto"/>
            <w:vAlign w:val="center"/>
          </w:tcPr>
          <w:p w:rsidR="00D822A3" w:rsidRPr="00A96AAC" w:rsidRDefault="004D282E" w:rsidP="00D822A3">
            <w:pPr>
              <w:jc w:val="center"/>
              <w:rPr>
                <w:lang w:val="uk-UA"/>
              </w:rPr>
            </w:pPr>
            <w:r>
              <w:rPr>
                <w:lang w:val="uk-UA"/>
              </w:rPr>
              <w:t>5000</w:t>
            </w:r>
          </w:p>
        </w:tc>
        <w:tc>
          <w:tcPr>
            <w:tcW w:w="1985" w:type="dxa"/>
            <w:shd w:val="clear" w:color="auto" w:fill="auto"/>
          </w:tcPr>
          <w:p w:rsidR="00D822A3" w:rsidRPr="00A96AAC" w:rsidRDefault="004D282E" w:rsidP="00D822A3">
            <w:pPr>
              <w:jc w:val="center"/>
              <w:rPr>
                <w:lang w:val="uk-UA"/>
              </w:rPr>
            </w:pPr>
            <w:r>
              <w:rPr>
                <w:lang w:val="uk-UA"/>
              </w:rPr>
              <w:t>5000</w:t>
            </w:r>
          </w:p>
        </w:tc>
      </w:tr>
      <w:tr w:rsidR="00D822A3" w:rsidRPr="00A96AAC" w:rsidTr="00710B2C">
        <w:tc>
          <w:tcPr>
            <w:tcW w:w="5812" w:type="dxa"/>
            <w:shd w:val="clear" w:color="auto" w:fill="auto"/>
          </w:tcPr>
          <w:p w:rsidR="00D822A3" w:rsidRPr="00A96AAC" w:rsidRDefault="00D822A3" w:rsidP="00D822A3">
            <w:pPr>
              <w:jc w:val="both"/>
              <w:rPr>
                <w:b/>
                <w:lang w:val="uk-UA"/>
              </w:rPr>
            </w:pPr>
            <w:r>
              <w:t>Нерозподілений прибуток (непокритий збиток)</w:t>
            </w:r>
          </w:p>
        </w:tc>
        <w:tc>
          <w:tcPr>
            <w:tcW w:w="2126" w:type="dxa"/>
            <w:shd w:val="clear" w:color="auto" w:fill="auto"/>
            <w:vAlign w:val="center"/>
          </w:tcPr>
          <w:p w:rsidR="00D822A3" w:rsidRPr="00A96AAC" w:rsidRDefault="004D282E" w:rsidP="00D822A3">
            <w:pPr>
              <w:jc w:val="center"/>
              <w:rPr>
                <w:lang w:val="uk-UA"/>
              </w:rPr>
            </w:pPr>
            <w:r>
              <w:rPr>
                <w:lang w:val="uk-UA"/>
              </w:rPr>
              <w:t>-752</w:t>
            </w:r>
          </w:p>
        </w:tc>
        <w:tc>
          <w:tcPr>
            <w:tcW w:w="1985" w:type="dxa"/>
            <w:shd w:val="clear" w:color="auto" w:fill="auto"/>
          </w:tcPr>
          <w:p w:rsidR="00D822A3" w:rsidRPr="00A96AAC" w:rsidRDefault="004D282E" w:rsidP="00D822A3">
            <w:pPr>
              <w:jc w:val="center"/>
              <w:rPr>
                <w:lang w:val="uk-UA"/>
              </w:rPr>
            </w:pPr>
            <w:r>
              <w:rPr>
                <w:lang w:val="uk-UA"/>
              </w:rPr>
              <w:t>-236</w:t>
            </w:r>
          </w:p>
        </w:tc>
      </w:tr>
      <w:tr w:rsidR="00D822A3" w:rsidRPr="00A96AAC" w:rsidTr="00710B2C">
        <w:tc>
          <w:tcPr>
            <w:tcW w:w="5812" w:type="dxa"/>
            <w:shd w:val="clear" w:color="auto" w:fill="auto"/>
          </w:tcPr>
          <w:p w:rsidR="00D822A3" w:rsidRPr="00A96AAC" w:rsidRDefault="00D822A3" w:rsidP="00D822A3">
            <w:pPr>
              <w:jc w:val="both"/>
              <w:rPr>
                <w:b/>
                <w:lang w:val="uk-UA"/>
              </w:rPr>
            </w:pPr>
            <w:r>
              <w:t>Резервний капітал</w:t>
            </w:r>
          </w:p>
        </w:tc>
        <w:tc>
          <w:tcPr>
            <w:tcW w:w="2126" w:type="dxa"/>
            <w:shd w:val="clear" w:color="auto" w:fill="auto"/>
            <w:vAlign w:val="center"/>
          </w:tcPr>
          <w:p w:rsidR="00D822A3" w:rsidRPr="00A96AAC" w:rsidRDefault="004D282E" w:rsidP="00D822A3">
            <w:pPr>
              <w:jc w:val="center"/>
              <w:rPr>
                <w:lang w:val="uk-UA"/>
              </w:rPr>
            </w:pPr>
            <w:r>
              <w:rPr>
                <w:lang w:val="uk-UA"/>
              </w:rPr>
              <w:t>71</w:t>
            </w:r>
          </w:p>
        </w:tc>
        <w:tc>
          <w:tcPr>
            <w:tcW w:w="1985" w:type="dxa"/>
            <w:shd w:val="clear" w:color="auto" w:fill="auto"/>
          </w:tcPr>
          <w:p w:rsidR="00D822A3" w:rsidRPr="00A96AAC" w:rsidRDefault="004D282E" w:rsidP="00D822A3">
            <w:pPr>
              <w:jc w:val="center"/>
              <w:rPr>
                <w:lang w:val="uk-UA"/>
              </w:rPr>
            </w:pPr>
            <w:r>
              <w:rPr>
                <w:lang w:val="uk-UA"/>
              </w:rPr>
              <w:t>71</w:t>
            </w:r>
          </w:p>
        </w:tc>
      </w:tr>
      <w:tr w:rsidR="00D822A3" w:rsidRPr="00A96AAC" w:rsidTr="00710B2C">
        <w:tc>
          <w:tcPr>
            <w:tcW w:w="5812" w:type="dxa"/>
            <w:shd w:val="clear" w:color="auto" w:fill="auto"/>
          </w:tcPr>
          <w:p w:rsidR="00D822A3" w:rsidRDefault="00D822A3" w:rsidP="00D822A3">
            <w:pPr>
              <w:jc w:val="both"/>
            </w:pPr>
            <w:r w:rsidRPr="00D96340">
              <w:t>Всього власний капітал</w:t>
            </w:r>
          </w:p>
        </w:tc>
        <w:tc>
          <w:tcPr>
            <w:tcW w:w="2126" w:type="dxa"/>
            <w:shd w:val="clear" w:color="auto" w:fill="auto"/>
            <w:vAlign w:val="center"/>
          </w:tcPr>
          <w:p w:rsidR="00D822A3" w:rsidRPr="00A96AAC" w:rsidRDefault="004D282E" w:rsidP="00D822A3">
            <w:pPr>
              <w:jc w:val="center"/>
              <w:rPr>
                <w:lang w:val="uk-UA"/>
              </w:rPr>
            </w:pPr>
            <w:r>
              <w:rPr>
                <w:lang w:val="uk-UA"/>
              </w:rPr>
              <w:t>4319</w:t>
            </w:r>
          </w:p>
        </w:tc>
        <w:tc>
          <w:tcPr>
            <w:tcW w:w="1985" w:type="dxa"/>
            <w:shd w:val="clear" w:color="auto" w:fill="auto"/>
          </w:tcPr>
          <w:p w:rsidR="00D822A3" w:rsidRPr="00A96AAC" w:rsidRDefault="004D282E" w:rsidP="00D822A3">
            <w:pPr>
              <w:jc w:val="center"/>
              <w:rPr>
                <w:lang w:val="uk-UA"/>
              </w:rPr>
            </w:pPr>
            <w:r>
              <w:rPr>
                <w:lang w:val="uk-UA"/>
              </w:rPr>
              <w:t>4835</w:t>
            </w:r>
          </w:p>
        </w:tc>
      </w:tr>
    </w:tbl>
    <w:p w:rsidR="00274D6F" w:rsidRDefault="00A66745" w:rsidP="00274D6F">
      <w:pPr>
        <w:pStyle w:val="rvps14"/>
        <w:spacing w:before="150" w:after="150" w:line="240" w:lineRule="atLeast"/>
        <w:ind w:firstLine="567"/>
        <w:jc w:val="both"/>
        <w:rPr>
          <w:lang w:val="uk-UA"/>
        </w:rPr>
      </w:pPr>
      <w:r>
        <w:rPr>
          <w:lang w:val="uk-UA"/>
        </w:rPr>
        <w:t>Згідно п. 6</w:t>
      </w:r>
      <w:r w:rsidR="00BB6DA6">
        <w:rPr>
          <w:lang w:val="uk-UA"/>
        </w:rPr>
        <w:t>.</w:t>
      </w:r>
      <w:r>
        <w:rPr>
          <w:lang w:val="uk-UA"/>
        </w:rPr>
        <w:t>5 Засновницького договору у Товаристві створюється резервний (страховий) фонд</w:t>
      </w:r>
      <w:r w:rsidR="00991010">
        <w:rPr>
          <w:lang w:val="uk-UA"/>
        </w:rPr>
        <w:t>, але у будь-якому випадку не меньше 25 відсотків статутного (складеного) капіталу. Розмір щорічних відрахувань до резервного (страхового) фонду передбачається Загальними Зборами Учасників Товариства, але не може бути меншим 5 відсотків суми чистого прибутку. В 2021 році відрахування до резервного (страх</w:t>
      </w:r>
      <w:r w:rsidR="004D282E">
        <w:rPr>
          <w:lang w:val="uk-UA"/>
        </w:rPr>
        <w:t>ового) фонду складає не було.</w:t>
      </w:r>
    </w:p>
    <w:p w:rsidR="005E61E5" w:rsidRDefault="005E61E5" w:rsidP="00274D6F">
      <w:pPr>
        <w:pStyle w:val="rvps14"/>
        <w:spacing w:before="150" w:after="150" w:line="240" w:lineRule="atLeast"/>
        <w:ind w:firstLine="567"/>
        <w:jc w:val="both"/>
        <w:rPr>
          <w:lang w:val="uk-UA"/>
        </w:rPr>
      </w:pPr>
      <w:r w:rsidRPr="00DD57A1">
        <w:rPr>
          <w:lang w:val="uk-UA"/>
        </w:rPr>
        <w:t xml:space="preserve">Структура та обсяг </w:t>
      </w:r>
      <w:r w:rsidR="00274D6F">
        <w:rPr>
          <w:lang w:val="uk-UA"/>
        </w:rPr>
        <w:t xml:space="preserve">власного </w:t>
      </w:r>
      <w:r w:rsidRPr="00DD57A1">
        <w:rPr>
          <w:lang w:val="uk-UA"/>
        </w:rPr>
        <w:t>капіталу відповідають вимогам  чинного законодавства. Сплата здійснена грошовими коштами без порушення термінів, у відповідності до вимог чинного законодавства.</w:t>
      </w:r>
    </w:p>
    <w:p w:rsidR="005E61E5" w:rsidRDefault="0020448A" w:rsidP="00C429BC">
      <w:pPr>
        <w:ind w:left="567"/>
        <w:jc w:val="both"/>
        <w:rPr>
          <w:b/>
          <w:lang w:val="uk-UA"/>
        </w:rPr>
      </w:pPr>
      <w:r>
        <w:rPr>
          <w:b/>
          <w:lang w:val="uk-UA"/>
        </w:rPr>
        <w:t>6.</w:t>
      </w:r>
      <w:r w:rsidR="00621E47">
        <w:rPr>
          <w:b/>
          <w:lang w:val="uk-UA"/>
        </w:rPr>
        <w:t>8</w:t>
      </w:r>
      <w:r>
        <w:rPr>
          <w:b/>
          <w:lang w:val="uk-UA"/>
        </w:rPr>
        <w:t xml:space="preserve">. </w:t>
      </w:r>
      <w:r w:rsidR="005E61E5" w:rsidRPr="00DD57A1">
        <w:rPr>
          <w:b/>
          <w:lang w:val="uk-UA"/>
        </w:rPr>
        <w:t>Кредиторська заборгованість</w:t>
      </w:r>
    </w:p>
    <w:p w:rsidR="000E1BE8" w:rsidRPr="000E1BE8" w:rsidRDefault="000E1BE8" w:rsidP="004F1CA4">
      <w:pPr>
        <w:jc w:val="both"/>
        <w:rPr>
          <w:lang w:val="uk-UA"/>
        </w:rPr>
      </w:pPr>
      <w:r w:rsidRPr="000E1BE8">
        <w:rPr>
          <w:lang w:val="uk-UA"/>
        </w:rPr>
        <w:t>Дебіторська заборгованість згідно з балансом та в порівнянні за попередні</w:t>
      </w:r>
      <w:r w:rsidR="00BC6AE2">
        <w:rPr>
          <w:lang w:val="uk-UA"/>
        </w:rPr>
        <w:t>й</w:t>
      </w:r>
      <w:r w:rsidRPr="000E1BE8">
        <w:rPr>
          <w:lang w:val="uk-UA"/>
        </w:rPr>
        <w:t xml:space="preserve"> період, тис.грн.:</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12"/>
        <w:gridCol w:w="2126"/>
        <w:gridCol w:w="2092"/>
      </w:tblGrid>
      <w:tr w:rsidR="00682C7F" w:rsidRPr="00A96AAC" w:rsidTr="00A96AAC">
        <w:tc>
          <w:tcPr>
            <w:tcW w:w="5812" w:type="dxa"/>
            <w:shd w:val="clear" w:color="auto" w:fill="auto"/>
          </w:tcPr>
          <w:p w:rsidR="00682C7F" w:rsidRPr="00455165" w:rsidRDefault="00682C7F" w:rsidP="00682C7F">
            <w:pPr>
              <w:jc w:val="center"/>
            </w:pPr>
          </w:p>
        </w:tc>
        <w:tc>
          <w:tcPr>
            <w:tcW w:w="2126" w:type="dxa"/>
            <w:shd w:val="clear" w:color="auto" w:fill="auto"/>
          </w:tcPr>
          <w:p w:rsidR="00682C7F" w:rsidRPr="00682C7F" w:rsidRDefault="00682C7F" w:rsidP="00682C7F">
            <w:pPr>
              <w:jc w:val="center"/>
              <w:rPr>
                <w:lang w:val="uk-UA"/>
              </w:rPr>
            </w:pPr>
            <w:r w:rsidRPr="00455165">
              <w:t>31 грудня 202</w:t>
            </w:r>
            <w:r>
              <w:rPr>
                <w:lang w:val="uk-UA"/>
              </w:rPr>
              <w:t>1</w:t>
            </w:r>
          </w:p>
        </w:tc>
        <w:tc>
          <w:tcPr>
            <w:tcW w:w="2092" w:type="dxa"/>
            <w:shd w:val="clear" w:color="auto" w:fill="auto"/>
          </w:tcPr>
          <w:p w:rsidR="00682C7F" w:rsidRDefault="00682C7F" w:rsidP="00682C7F">
            <w:pPr>
              <w:jc w:val="center"/>
            </w:pPr>
            <w:r w:rsidRPr="00FC228D">
              <w:t>31 грудня 2020</w:t>
            </w:r>
          </w:p>
        </w:tc>
      </w:tr>
      <w:tr w:rsidR="00682C7F" w:rsidRPr="00A96AAC" w:rsidTr="00A96AAC">
        <w:tc>
          <w:tcPr>
            <w:tcW w:w="5812" w:type="dxa"/>
            <w:shd w:val="clear" w:color="auto" w:fill="auto"/>
          </w:tcPr>
          <w:p w:rsidR="00682C7F" w:rsidRPr="00A96AAC" w:rsidRDefault="00682C7F" w:rsidP="00682C7F">
            <w:pPr>
              <w:jc w:val="both"/>
              <w:rPr>
                <w:b/>
                <w:lang w:val="uk-UA"/>
              </w:rPr>
            </w:pPr>
            <w:r w:rsidRPr="00A96AAC">
              <w:rPr>
                <w:lang w:val="uk-UA"/>
              </w:rPr>
              <w:t>За розрахункам з бюджетом</w:t>
            </w:r>
          </w:p>
        </w:tc>
        <w:tc>
          <w:tcPr>
            <w:tcW w:w="2126" w:type="dxa"/>
            <w:shd w:val="clear" w:color="auto" w:fill="auto"/>
          </w:tcPr>
          <w:p w:rsidR="00682C7F" w:rsidRPr="00A96AAC" w:rsidRDefault="00621E47" w:rsidP="00682C7F">
            <w:pPr>
              <w:jc w:val="center"/>
              <w:rPr>
                <w:lang w:val="uk-UA"/>
              </w:rPr>
            </w:pPr>
            <w:r>
              <w:rPr>
                <w:lang w:val="uk-UA"/>
              </w:rPr>
              <w:t>14</w:t>
            </w:r>
          </w:p>
        </w:tc>
        <w:tc>
          <w:tcPr>
            <w:tcW w:w="2092" w:type="dxa"/>
            <w:shd w:val="clear" w:color="auto" w:fill="auto"/>
          </w:tcPr>
          <w:p w:rsidR="00682C7F" w:rsidRPr="00A96AAC" w:rsidRDefault="00621E47" w:rsidP="00682C7F">
            <w:pPr>
              <w:jc w:val="center"/>
              <w:rPr>
                <w:lang w:val="uk-UA"/>
              </w:rPr>
            </w:pPr>
            <w:r>
              <w:rPr>
                <w:lang w:val="uk-UA"/>
              </w:rPr>
              <w:t>7</w:t>
            </w:r>
          </w:p>
        </w:tc>
      </w:tr>
      <w:tr w:rsidR="00682C7F" w:rsidRPr="00A96AAC" w:rsidTr="00A96AAC">
        <w:tc>
          <w:tcPr>
            <w:tcW w:w="5812" w:type="dxa"/>
            <w:shd w:val="clear" w:color="auto" w:fill="auto"/>
          </w:tcPr>
          <w:p w:rsidR="00682C7F" w:rsidRPr="00A96AAC" w:rsidRDefault="00682C7F" w:rsidP="00682C7F">
            <w:pPr>
              <w:jc w:val="both"/>
              <w:rPr>
                <w:b/>
                <w:lang w:val="uk-UA"/>
              </w:rPr>
            </w:pPr>
            <w:r w:rsidRPr="00A96AAC">
              <w:rPr>
                <w:lang w:val="uk-UA"/>
              </w:rPr>
              <w:t>За розрахунками з оплати праці</w:t>
            </w:r>
          </w:p>
        </w:tc>
        <w:tc>
          <w:tcPr>
            <w:tcW w:w="2126" w:type="dxa"/>
            <w:shd w:val="clear" w:color="auto" w:fill="auto"/>
          </w:tcPr>
          <w:p w:rsidR="00682C7F" w:rsidRPr="00A96AAC" w:rsidRDefault="00621E47" w:rsidP="00682C7F">
            <w:pPr>
              <w:jc w:val="center"/>
              <w:rPr>
                <w:lang w:val="uk-UA"/>
              </w:rPr>
            </w:pPr>
            <w:r>
              <w:rPr>
                <w:lang w:val="uk-UA"/>
              </w:rPr>
              <w:t>49</w:t>
            </w:r>
          </w:p>
        </w:tc>
        <w:tc>
          <w:tcPr>
            <w:tcW w:w="2092" w:type="dxa"/>
            <w:shd w:val="clear" w:color="auto" w:fill="auto"/>
          </w:tcPr>
          <w:p w:rsidR="00682C7F" w:rsidRPr="00A96AAC" w:rsidRDefault="00621E47" w:rsidP="00682C7F">
            <w:pPr>
              <w:jc w:val="center"/>
              <w:rPr>
                <w:lang w:val="uk-UA"/>
              </w:rPr>
            </w:pPr>
            <w:r>
              <w:rPr>
                <w:lang w:val="uk-UA"/>
              </w:rPr>
              <w:t>27</w:t>
            </w:r>
          </w:p>
        </w:tc>
      </w:tr>
      <w:tr w:rsidR="00682C7F" w:rsidRPr="00A96AAC" w:rsidTr="00A96AAC">
        <w:tc>
          <w:tcPr>
            <w:tcW w:w="5812" w:type="dxa"/>
            <w:shd w:val="clear" w:color="auto" w:fill="auto"/>
          </w:tcPr>
          <w:p w:rsidR="00682C7F" w:rsidRPr="00A96AAC" w:rsidRDefault="00682C7F" w:rsidP="00682C7F">
            <w:pPr>
              <w:jc w:val="both"/>
              <w:rPr>
                <w:b/>
                <w:lang w:val="uk-UA"/>
              </w:rPr>
            </w:pPr>
            <w:r w:rsidRPr="00A96AAC">
              <w:rPr>
                <w:lang w:val="uk-UA"/>
              </w:rPr>
              <w:t>За розрахунками зі страхування</w:t>
            </w:r>
          </w:p>
        </w:tc>
        <w:tc>
          <w:tcPr>
            <w:tcW w:w="2126" w:type="dxa"/>
            <w:shd w:val="clear" w:color="auto" w:fill="auto"/>
          </w:tcPr>
          <w:p w:rsidR="00682C7F" w:rsidRPr="00A96AAC" w:rsidRDefault="00621E47" w:rsidP="00682C7F">
            <w:pPr>
              <w:jc w:val="center"/>
              <w:rPr>
                <w:lang w:val="uk-UA"/>
              </w:rPr>
            </w:pPr>
            <w:r>
              <w:rPr>
                <w:lang w:val="uk-UA"/>
              </w:rPr>
              <w:t>16</w:t>
            </w:r>
          </w:p>
        </w:tc>
        <w:tc>
          <w:tcPr>
            <w:tcW w:w="2092" w:type="dxa"/>
            <w:shd w:val="clear" w:color="auto" w:fill="auto"/>
          </w:tcPr>
          <w:p w:rsidR="00682C7F" w:rsidRPr="00A96AAC" w:rsidRDefault="00621E47" w:rsidP="00682C7F">
            <w:pPr>
              <w:jc w:val="center"/>
              <w:rPr>
                <w:lang w:val="uk-UA"/>
              </w:rPr>
            </w:pPr>
            <w:r>
              <w:rPr>
                <w:lang w:val="uk-UA"/>
              </w:rPr>
              <w:t>8</w:t>
            </w:r>
          </w:p>
        </w:tc>
      </w:tr>
      <w:tr w:rsidR="00682C7F" w:rsidRPr="00A96AAC" w:rsidTr="00A96AAC">
        <w:tc>
          <w:tcPr>
            <w:tcW w:w="5812" w:type="dxa"/>
            <w:shd w:val="clear" w:color="auto" w:fill="auto"/>
          </w:tcPr>
          <w:p w:rsidR="00682C7F" w:rsidRPr="00A96AAC" w:rsidRDefault="00621E47" w:rsidP="00682C7F">
            <w:pPr>
              <w:jc w:val="both"/>
              <w:rPr>
                <w:b/>
                <w:lang w:val="uk-UA"/>
              </w:rPr>
            </w:pPr>
            <w:r>
              <w:rPr>
                <w:lang w:val="uk-UA"/>
              </w:rPr>
              <w:t>Заборгованість по іншим</w:t>
            </w:r>
            <w:r w:rsidR="00682C7F" w:rsidRPr="00A96AAC">
              <w:rPr>
                <w:lang w:val="uk-UA"/>
              </w:rPr>
              <w:t xml:space="preserve"> зобов’язанням</w:t>
            </w:r>
          </w:p>
        </w:tc>
        <w:tc>
          <w:tcPr>
            <w:tcW w:w="2126" w:type="dxa"/>
            <w:shd w:val="clear" w:color="auto" w:fill="auto"/>
          </w:tcPr>
          <w:p w:rsidR="00682C7F" w:rsidRPr="00A96AAC" w:rsidRDefault="00621E47" w:rsidP="00682C7F">
            <w:pPr>
              <w:jc w:val="center"/>
              <w:rPr>
                <w:lang w:val="uk-UA"/>
              </w:rPr>
            </w:pPr>
            <w:r>
              <w:rPr>
                <w:lang w:val="uk-UA"/>
              </w:rPr>
              <w:t>3887</w:t>
            </w:r>
          </w:p>
        </w:tc>
        <w:tc>
          <w:tcPr>
            <w:tcW w:w="2092" w:type="dxa"/>
            <w:shd w:val="clear" w:color="auto" w:fill="auto"/>
          </w:tcPr>
          <w:p w:rsidR="00682C7F" w:rsidRPr="00A96AAC" w:rsidRDefault="00621E47" w:rsidP="00682C7F">
            <w:pPr>
              <w:jc w:val="center"/>
              <w:rPr>
                <w:lang w:val="uk-UA"/>
              </w:rPr>
            </w:pPr>
            <w:r>
              <w:rPr>
                <w:lang w:val="uk-UA"/>
              </w:rPr>
              <w:t>385</w:t>
            </w:r>
          </w:p>
        </w:tc>
      </w:tr>
      <w:tr w:rsidR="00682C7F" w:rsidRPr="00A96AAC" w:rsidTr="00A96AAC">
        <w:tc>
          <w:tcPr>
            <w:tcW w:w="5812" w:type="dxa"/>
            <w:shd w:val="clear" w:color="auto" w:fill="auto"/>
          </w:tcPr>
          <w:p w:rsidR="00682C7F" w:rsidRPr="00A96AAC" w:rsidRDefault="00682C7F" w:rsidP="00682C7F">
            <w:pPr>
              <w:jc w:val="both"/>
              <w:rPr>
                <w:b/>
                <w:lang w:val="uk-UA"/>
              </w:rPr>
            </w:pPr>
            <w:r w:rsidRPr="00A96AAC">
              <w:rPr>
                <w:lang w:val="uk-UA"/>
              </w:rPr>
              <w:t>Поточне забезпечення</w:t>
            </w:r>
          </w:p>
        </w:tc>
        <w:tc>
          <w:tcPr>
            <w:tcW w:w="2126" w:type="dxa"/>
            <w:shd w:val="clear" w:color="auto" w:fill="auto"/>
          </w:tcPr>
          <w:p w:rsidR="00682C7F" w:rsidRPr="00A96AAC" w:rsidRDefault="00621E47" w:rsidP="00682C7F">
            <w:pPr>
              <w:jc w:val="center"/>
              <w:rPr>
                <w:lang w:val="uk-UA"/>
              </w:rPr>
            </w:pPr>
            <w:r>
              <w:rPr>
                <w:lang w:val="uk-UA"/>
              </w:rPr>
              <w:t>21</w:t>
            </w:r>
          </w:p>
        </w:tc>
        <w:tc>
          <w:tcPr>
            <w:tcW w:w="2092" w:type="dxa"/>
            <w:shd w:val="clear" w:color="auto" w:fill="auto"/>
          </w:tcPr>
          <w:p w:rsidR="00682C7F" w:rsidRPr="00A96AAC" w:rsidRDefault="00621E47" w:rsidP="00682C7F">
            <w:pPr>
              <w:jc w:val="center"/>
              <w:rPr>
                <w:lang w:val="uk-UA"/>
              </w:rPr>
            </w:pPr>
            <w:r>
              <w:rPr>
                <w:lang w:val="uk-UA"/>
              </w:rPr>
              <w:t>30</w:t>
            </w:r>
          </w:p>
        </w:tc>
      </w:tr>
      <w:tr w:rsidR="00682C7F" w:rsidRPr="00A96AAC" w:rsidTr="00A96AAC">
        <w:tc>
          <w:tcPr>
            <w:tcW w:w="5812" w:type="dxa"/>
            <w:shd w:val="clear" w:color="auto" w:fill="auto"/>
          </w:tcPr>
          <w:p w:rsidR="00682C7F" w:rsidRPr="00A96AAC" w:rsidRDefault="00682C7F" w:rsidP="00682C7F">
            <w:pPr>
              <w:jc w:val="both"/>
              <w:rPr>
                <w:b/>
                <w:lang w:val="uk-UA"/>
              </w:rPr>
            </w:pPr>
            <w:r w:rsidRPr="00A96AAC">
              <w:rPr>
                <w:lang w:val="uk-UA"/>
              </w:rPr>
              <w:t>За товари, роботи та послуги</w:t>
            </w:r>
          </w:p>
        </w:tc>
        <w:tc>
          <w:tcPr>
            <w:tcW w:w="2126" w:type="dxa"/>
            <w:shd w:val="clear" w:color="auto" w:fill="auto"/>
          </w:tcPr>
          <w:p w:rsidR="00682C7F" w:rsidRPr="00A96AAC" w:rsidRDefault="00621E47" w:rsidP="00682C7F">
            <w:pPr>
              <w:jc w:val="center"/>
              <w:rPr>
                <w:lang w:val="uk-UA"/>
              </w:rPr>
            </w:pPr>
            <w:r>
              <w:rPr>
                <w:lang w:val="uk-UA"/>
              </w:rPr>
              <w:t>387</w:t>
            </w:r>
          </w:p>
        </w:tc>
        <w:tc>
          <w:tcPr>
            <w:tcW w:w="2092" w:type="dxa"/>
            <w:shd w:val="clear" w:color="auto" w:fill="auto"/>
          </w:tcPr>
          <w:p w:rsidR="00682C7F" w:rsidRPr="00A96AAC" w:rsidRDefault="00621E47" w:rsidP="00682C7F">
            <w:pPr>
              <w:jc w:val="center"/>
              <w:rPr>
                <w:lang w:val="uk-UA"/>
              </w:rPr>
            </w:pPr>
            <w:r>
              <w:rPr>
                <w:lang w:val="uk-UA"/>
              </w:rPr>
              <w:t>465</w:t>
            </w:r>
          </w:p>
        </w:tc>
      </w:tr>
    </w:tbl>
    <w:p w:rsidR="00D32F76" w:rsidRDefault="00D32F76" w:rsidP="00C429BC">
      <w:pPr>
        <w:ind w:left="567"/>
        <w:jc w:val="both"/>
        <w:rPr>
          <w:b/>
          <w:lang w:val="uk-UA"/>
        </w:rPr>
      </w:pPr>
    </w:p>
    <w:p w:rsidR="00F276F0" w:rsidRDefault="00621E47" w:rsidP="00C429BC">
      <w:pPr>
        <w:ind w:left="567"/>
        <w:jc w:val="both"/>
        <w:rPr>
          <w:b/>
          <w:lang w:val="uk-UA"/>
        </w:rPr>
      </w:pPr>
      <w:r>
        <w:rPr>
          <w:b/>
          <w:lang w:val="uk-UA"/>
        </w:rPr>
        <w:t>6.9</w:t>
      </w:r>
      <w:r w:rsidR="00F276F0">
        <w:rPr>
          <w:b/>
          <w:lang w:val="uk-UA"/>
        </w:rPr>
        <w:t xml:space="preserve">. Доходи </w:t>
      </w:r>
    </w:p>
    <w:p w:rsidR="00632249" w:rsidRDefault="00632249" w:rsidP="00621E47">
      <w:pPr>
        <w:ind w:firstLine="567"/>
        <w:jc w:val="both"/>
        <w:rPr>
          <w:bCs/>
          <w:lang w:val="uk-UA"/>
        </w:rPr>
      </w:pPr>
      <w:r>
        <w:rPr>
          <w:bCs/>
          <w:lang w:val="uk-UA"/>
        </w:rPr>
        <w:t>У звітному періоді основним видом діяльності Товариства було надання на власний ризик фінансових кредитів особам за рахунок власних коштів під заставу майна та надання супутніх послуг, які є передумовою або умо</w:t>
      </w:r>
      <w:r w:rsidR="00621E47">
        <w:rPr>
          <w:bCs/>
          <w:lang w:val="uk-UA"/>
        </w:rPr>
        <w:t xml:space="preserve">вою надання фінансових кредитів </w:t>
      </w:r>
      <w:r>
        <w:rPr>
          <w:bCs/>
          <w:lang w:val="uk-UA"/>
        </w:rPr>
        <w:t>протягом 2021 р</w:t>
      </w:r>
      <w:r w:rsidR="004D4A53">
        <w:rPr>
          <w:bCs/>
          <w:lang w:val="uk-UA"/>
        </w:rPr>
        <w:t>оку</w:t>
      </w:r>
      <w:r>
        <w:rPr>
          <w:bCs/>
          <w:lang w:val="uk-UA"/>
        </w:rPr>
        <w:t xml:space="preserve"> надано фінансових кредитів фізичним особам під заставу у кількості </w:t>
      </w:r>
      <w:r w:rsidR="006D3996">
        <w:rPr>
          <w:bCs/>
          <w:lang w:val="uk-UA"/>
        </w:rPr>
        <w:t>26542</w:t>
      </w:r>
      <w:r w:rsidR="00114FA7">
        <w:rPr>
          <w:bCs/>
          <w:lang w:val="uk-UA"/>
        </w:rPr>
        <w:t xml:space="preserve"> шт.</w:t>
      </w:r>
      <w:r w:rsidR="006D3996">
        <w:rPr>
          <w:bCs/>
          <w:lang w:val="uk-UA"/>
        </w:rPr>
        <w:t xml:space="preserve"> на суму 42448 </w:t>
      </w:r>
      <w:r w:rsidR="00597DEB">
        <w:rPr>
          <w:bCs/>
          <w:lang w:val="uk-UA"/>
        </w:rPr>
        <w:t>тис.грн.</w:t>
      </w:r>
      <w:r w:rsidR="00114FA7">
        <w:rPr>
          <w:bCs/>
          <w:lang w:val="uk-UA"/>
        </w:rPr>
        <w:t>, а саме:</w:t>
      </w:r>
    </w:p>
    <w:p w:rsidR="00114FA7" w:rsidRDefault="00114FA7" w:rsidP="00114FA7">
      <w:pPr>
        <w:numPr>
          <w:ilvl w:val="0"/>
          <w:numId w:val="7"/>
        </w:numPr>
        <w:jc w:val="both"/>
        <w:rPr>
          <w:bCs/>
          <w:lang w:val="uk-UA"/>
        </w:rPr>
      </w:pPr>
      <w:r>
        <w:rPr>
          <w:bCs/>
          <w:lang w:val="uk-UA"/>
        </w:rPr>
        <w:t xml:space="preserve">вирбів із дорогоцінних металів </w:t>
      </w:r>
      <w:r w:rsidR="006D3996">
        <w:rPr>
          <w:bCs/>
          <w:lang w:val="uk-UA"/>
        </w:rPr>
        <w:t>та дорогоцінного каміння – 12309 шт. на суму 30789</w:t>
      </w:r>
      <w:r>
        <w:rPr>
          <w:bCs/>
          <w:lang w:val="uk-UA"/>
        </w:rPr>
        <w:t xml:space="preserve"> тис.грн;</w:t>
      </w:r>
    </w:p>
    <w:p w:rsidR="00114FA7" w:rsidRDefault="006D3996" w:rsidP="00114FA7">
      <w:pPr>
        <w:numPr>
          <w:ilvl w:val="0"/>
          <w:numId w:val="7"/>
        </w:numPr>
        <w:jc w:val="both"/>
        <w:rPr>
          <w:bCs/>
          <w:lang w:val="uk-UA"/>
        </w:rPr>
      </w:pPr>
      <w:r>
        <w:rPr>
          <w:bCs/>
          <w:lang w:val="uk-UA"/>
        </w:rPr>
        <w:t>побутової техніки – 14233 шт. на суму 11659</w:t>
      </w:r>
      <w:r w:rsidR="004D4A53">
        <w:rPr>
          <w:bCs/>
          <w:lang w:val="uk-UA"/>
        </w:rPr>
        <w:t xml:space="preserve"> тис.грн;</w:t>
      </w:r>
    </w:p>
    <w:p w:rsidR="004D4A53" w:rsidRDefault="004D4A53" w:rsidP="006D3996">
      <w:pPr>
        <w:ind w:left="680"/>
        <w:jc w:val="both"/>
        <w:rPr>
          <w:bCs/>
          <w:lang w:val="uk-UA"/>
        </w:rPr>
      </w:pPr>
    </w:p>
    <w:p w:rsidR="004D4A53" w:rsidRDefault="004D4A53" w:rsidP="004D4A53">
      <w:pPr>
        <w:jc w:val="both"/>
        <w:rPr>
          <w:bCs/>
          <w:lang w:val="uk-UA"/>
        </w:rPr>
      </w:pPr>
      <w:r>
        <w:rPr>
          <w:bCs/>
          <w:lang w:val="uk-UA"/>
        </w:rPr>
        <w:t xml:space="preserve">Протягом 2021 року погашено фінансових кредитів на суму </w:t>
      </w:r>
      <w:r w:rsidR="006D3996">
        <w:rPr>
          <w:bCs/>
          <w:lang w:val="uk-UA"/>
        </w:rPr>
        <w:t>40280</w:t>
      </w:r>
      <w:r w:rsidR="00597DEB">
        <w:rPr>
          <w:bCs/>
          <w:lang w:val="uk-UA"/>
        </w:rPr>
        <w:t xml:space="preserve"> тис.грн., в тому числі погашено за рахунок майна, наданого в заставу </w:t>
      </w:r>
      <w:r w:rsidR="00C3036D">
        <w:rPr>
          <w:bCs/>
          <w:lang w:val="uk-UA"/>
        </w:rPr>
        <w:t>–</w:t>
      </w:r>
      <w:r w:rsidR="00597DEB">
        <w:rPr>
          <w:bCs/>
          <w:lang w:val="uk-UA"/>
        </w:rPr>
        <w:t xml:space="preserve"> </w:t>
      </w:r>
      <w:r w:rsidR="006D3996">
        <w:rPr>
          <w:bCs/>
          <w:lang w:val="uk-UA"/>
        </w:rPr>
        <w:t>5629</w:t>
      </w:r>
      <w:r w:rsidR="00C3036D">
        <w:rPr>
          <w:bCs/>
          <w:lang w:val="uk-UA"/>
        </w:rPr>
        <w:t xml:space="preserve"> тис.грн.</w:t>
      </w:r>
    </w:p>
    <w:p w:rsidR="000B0E24" w:rsidRDefault="000B0E24" w:rsidP="004D4A53">
      <w:pPr>
        <w:jc w:val="both"/>
        <w:rPr>
          <w:bCs/>
          <w:lang w:val="uk-UA"/>
        </w:rPr>
      </w:pPr>
      <w:r>
        <w:rPr>
          <w:bCs/>
          <w:lang w:val="uk-UA"/>
        </w:rPr>
        <w:tab/>
      </w:r>
    </w:p>
    <w:p w:rsidR="000B121F" w:rsidRPr="00D32F76" w:rsidRDefault="000B121F" w:rsidP="000B121F">
      <w:pPr>
        <w:jc w:val="both"/>
        <w:rPr>
          <w:lang w:val="uk-UA"/>
        </w:rPr>
      </w:pPr>
      <w:r w:rsidRPr="00D32F76">
        <w:rPr>
          <w:lang w:val="uk-UA"/>
        </w:rPr>
        <w:t>До</w:t>
      </w:r>
      <w:r>
        <w:rPr>
          <w:lang w:val="uk-UA"/>
        </w:rPr>
        <w:t xml:space="preserve"> чистого </w:t>
      </w:r>
      <w:r w:rsidRPr="00D32F76">
        <w:rPr>
          <w:lang w:val="uk-UA"/>
        </w:rPr>
        <w:t>доход</w:t>
      </w:r>
      <w:r>
        <w:rPr>
          <w:lang w:val="uk-UA"/>
        </w:rPr>
        <w:t>у від реалізації послуг</w:t>
      </w:r>
      <w:r w:rsidR="00B75293">
        <w:rPr>
          <w:lang w:val="uk-UA"/>
        </w:rPr>
        <w:t xml:space="preserve"> (надання фінансових послуг</w:t>
      </w:r>
      <w:r>
        <w:rPr>
          <w:lang w:val="uk-UA"/>
        </w:rPr>
        <w:t>)</w:t>
      </w:r>
      <w:r w:rsidRPr="00D32F76">
        <w:rPr>
          <w:lang w:val="uk-UA"/>
        </w:rPr>
        <w:t xml:space="preserve"> відносяться доходи, пов`язані </w:t>
      </w:r>
      <w:r>
        <w:rPr>
          <w:lang w:val="uk-UA"/>
        </w:rPr>
        <w:t>з основною</w:t>
      </w:r>
      <w:r w:rsidRPr="00D32F76">
        <w:rPr>
          <w:lang w:val="uk-UA"/>
        </w:rPr>
        <w:t xml:space="preserve"> діяльністю</w:t>
      </w:r>
      <w:r>
        <w:rPr>
          <w:lang w:val="uk-UA"/>
        </w:rPr>
        <w:t xml:space="preserve"> Товариства, тис.грн.;</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12"/>
        <w:gridCol w:w="2126"/>
        <w:gridCol w:w="2092"/>
      </w:tblGrid>
      <w:tr w:rsidR="000B121F" w:rsidRPr="00D32F76" w:rsidTr="00245FDA">
        <w:tc>
          <w:tcPr>
            <w:tcW w:w="5812" w:type="dxa"/>
            <w:shd w:val="clear" w:color="auto" w:fill="auto"/>
          </w:tcPr>
          <w:p w:rsidR="000B121F" w:rsidRPr="00D32F76" w:rsidRDefault="000B121F" w:rsidP="00B923BE">
            <w:pPr>
              <w:jc w:val="center"/>
            </w:pPr>
          </w:p>
        </w:tc>
        <w:tc>
          <w:tcPr>
            <w:tcW w:w="2126" w:type="dxa"/>
            <w:shd w:val="clear" w:color="auto" w:fill="auto"/>
          </w:tcPr>
          <w:p w:rsidR="000B121F" w:rsidRPr="00D32F76" w:rsidRDefault="000B121F" w:rsidP="00B923BE">
            <w:pPr>
              <w:jc w:val="center"/>
            </w:pPr>
            <w:r w:rsidRPr="00D32F76">
              <w:t>202</w:t>
            </w:r>
            <w:r>
              <w:rPr>
                <w:lang w:val="uk-UA"/>
              </w:rPr>
              <w:t>1</w:t>
            </w:r>
            <w:r>
              <w:t xml:space="preserve"> р.</w:t>
            </w:r>
          </w:p>
        </w:tc>
        <w:tc>
          <w:tcPr>
            <w:tcW w:w="2092" w:type="dxa"/>
            <w:shd w:val="clear" w:color="auto" w:fill="auto"/>
          </w:tcPr>
          <w:p w:rsidR="000B121F" w:rsidRPr="00D32F76" w:rsidRDefault="000B121F" w:rsidP="00B923BE">
            <w:pPr>
              <w:jc w:val="center"/>
            </w:pPr>
            <w:r w:rsidRPr="005720DB">
              <w:t>2020 р.</w:t>
            </w:r>
          </w:p>
        </w:tc>
      </w:tr>
      <w:tr w:rsidR="00742F07" w:rsidRPr="00A96AAC" w:rsidTr="00245FDA">
        <w:tc>
          <w:tcPr>
            <w:tcW w:w="5812" w:type="dxa"/>
            <w:shd w:val="clear" w:color="auto" w:fill="auto"/>
            <w:vAlign w:val="center"/>
          </w:tcPr>
          <w:p w:rsidR="00742F07" w:rsidRPr="00A96AAC" w:rsidRDefault="00742F07" w:rsidP="00B923BE">
            <w:pPr>
              <w:rPr>
                <w:lang w:val="uk-UA"/>
              </w:rPr>
            </w:pPr>
            <w:r w:rsidRPr="00742F07">
              <w:rPr>
                <w:lang w:val="uk-UA"/>
              </w:rPr>
              <w:t>Нараховані відсотки по договорам фінансового кредиту</w:t>
            </w:r>
          </w:p>
        </w:tc>
        <w:tc>
          <w:tcPr>
            <w:tcW w:w="2126" w:type="dxa"/>
            <w:shd w:val="clear" w:color="auto" w:fill="auto"/>
            <w:vAlign w:val="center"/>
          </w:tcPr>
          <w:p w:rsidR="00742F07" w:rsidRPr="00A96AAC" w:rsidRDefault="006D3996" w:rsidP="00B923BE">
            <w:pPr>
              <w:jc w:val="center"/>
              <w:rPr>
                <w:lang w:val="uk-UA"/>
              </w:rPr>
            </w:pPr>
            <w:r>
              <w:rPr>
                <w:lang w:val="uk-UA"/>
              </w:rPr>
              <w:t>3322</w:t>
            </w:r>
          </w:p>
        </w:tc>
        <w:tc>
          <w:tcPr>
            <w:tcW w:w="2092" w:type="dxa"/>
            <w:shd w:val="clear" w:color="auto" w:fill="auto"/>
            <w:vAlign w:val="center"/>
          </w:tcPr>
          <w:p w:rsidR="00742F07" w:rsidRDefault="006D3996" w:rsidP="00B923BE">
            <w:pPr>
              <w:jc w:val="center"/>
              <w:rPr>
                <w:lang w:val="uk-UA"/>
              </w:rPr>
            </w:pPr>
            <w:r>
              <w:rPr>
                <w:lang w:val="uk-UA"/>
              </w:rPr>
              <w:t>2771</w:t>
            </w:r>
          </w:p>
        </w:tc>
      </w:tr>
    </w:tbl>
    <w:p w:rsidR="00245FDA" w:rsidRDefault="00245FDA" w:rsidP="00C429BC">
      <w:pPr>
        <w:ind w:left="567"/>
        <w:jc w:val="both"/>
        <w:rPr>
          <w:b/>
          <w:lang w:val="uk-UA"/>
        </w:rPr>
      </w:pPr>
    </w:p>
    <w:p w:rsidR="005E61E5" w:rsidRDefault="0020448A" w:rsidP="00C429BC">
      <w:pPr>
        <w:ind w:left="567"/>
        <w:jc w:val="both"/>
        <w:rPr>
          <w:b/>
          <w:lang w:val="uk-UA"/>
        </w:rPr>
      </w:pPr>
      <w:r>
        <w:rPr>
          <w:b/>
          <w:lang w:val="uk-UA"/>
        </w:rPr>
        <w:t>6.</w:t>
      </w:r>
      <w:r w:rsidR="00245FDA">
        <w:rPr>
          <w:b/>
          <w:lang w:val="uk-UA"/>
        </w:rPr>
        <w:t>10</w:t>
      </w:r>
      <w:r>
        <w:rPr>
          <w:b/>
          <w:lang w:val="uk-UA"/>
        </w:rPr>
        <w:t xml:space="preserve">. </w:t>
      </w:r>
      <w:r w:rsidR="00D32F76">
        <w:rPr>
          <w:b/>
          <w:lang w:val="uk-UA"/>
        </w:rPr>
        <w:t>Інші операційні доходи/витрати</w:t>
      </w:r>
    </w:p>
    <w:p w:rsidR="00D32F76" w:rsidRDefault="00D32F76" w:rsidP="00C429BC">
      <w:pPr>
        <w:ind w:left="567"/>
        <w:jc w:val="both"/>
        <w:rPr>
          <w:b/>
          <w:lang w:val="uk-UA"/>
        </w:rPr>
      </w:pPr>
    </w:p>
    <w:p w:rsidR="00D32F76" w:rsidRDefault="00B023CB" w:rsidP="004F1CA4">
      <w:pPr>
        <w:jc w:val="both"/>
        <w:rPr>
          <w:b/>
          <w:lang w:val="uk-UA"/>
        </w:rPr>
      </w:pPr>
      <w:r>
        <w:rPr>
          <w:b/>
          <w:lang w:val="uk-UA"/>
        </w:rPr>
        <w:tab/>
      </w:r>
      <w:r w:rsidR="00D32F76">
        <w:rPr>
          <w:b/>
          <w:lang w:val="uk-UA"/>
        </w:rPr>
        <w:t>Інші операційні доходи</w:t>
      </w:r>
    </w:p>
    <w:p w:rsidR="00D32F76" w:rsidRPr="00D32F76" w:rsidRDefault="00B023CB" w:rsidP="004F1CA4">
      <w:pPr>
        <w:jc w:val="both"/>
        <w:rPr>
          <w:lang w:val="uk-UA"/>
        </w:rPr>
      </w:pPr>
      <w:r>
        <w:rPr>
          <w:lang w:val="uk-UA"/>
        </w:rPr>
        <w:tab/>
      </w:r>
      <w:bookmarkStart w:id="4" w:name="_Hlk95227086"/>
      <w:r w:rsidR="00D32F76" w:rsidRPr="00D32F76">
        <w:rPr>
          <w:lang w:val="uk-UA"/>
        </w:rPr>
        <w:t>До інших операційних доходів відносяться доходи, пов`язані з іншою операційною діяльністю</w:t>
      </w:r>
      <w:r w:rsidR="00D32F76">
        <w:rPr>
          <w:lang w:val="uk-UA"/>
        </w:rPr>
        <w:t xml:space="preserve"> Товариства</w:t>
      </w:r>
      <w:r w:rsidR="00742CB3">
        <w:rPr>
          <w:lang w:val="uk-UA"/>
        </w:rPr>
        <w:t>, тис.грн.;</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12"/>
        <w:gridCol w:w="2126"/>
        <w:gridCol w:w="2092"/>
      </w:tblGrid>
      <w:tr w:rsidR="00E42B8A" w:rsidRPr="00D32F76" w:rsidTr="00C07F8A">
        <w:tc>
          <w:tcPr>
            <w:tcW w:w="5812" w:type="dxa"/>
            <w:shd w:val="clear" w:color="auto" w:fill="auto"/>
          </w:tcPr>
          <w:p w:rsidR="00E42B8A" w:rsidRPr="00D32F76" w:rsidRDefault="00E42B8A" w:rsidP="00E42B8A">
            <w:pPr>
              <w:jc w:val="center"/>
            </w:pPr>
          </w:p>
        </w:tc>
        <w:tc>
          <w:tcPr>
            <w:tcW w:w="2126" w:type="dxa"/>
            <w:shd w:val="clear" w:color="auto" w:fill="auto"/>
          </w:tcPr>
          <w:p w:rsidR="00E42B8A" w:rsidRPr="00D32F76" w:rsidRDefault="00E42B8A" w:rsidP="00E42B8A">
            <w:pPr>
              <w:jc w:val="center"/>
            </w:pPr>
            <w:r w:rsidRPr="00D32F76">
              <w:t>202</w:t>
            </w:r>
            <w:r>
              <w:rPr>
                <w:lang w:val="uk-UA"/>
              </w:rPr>
              <w:t>1</w:t>
            </w:r>
            <w:r>
              <w:t xml:space="preserve"> р.</w:t>
            </w:r>
          </w:p>
        </w:tc>
        <w:tc>
          <w:tcPr>
            <w:tcW w:w="2092" w:type="dxa"/>
            <w:shd w:val="clear" w:color="auto" w:fill="auto"/>
          </w:tcPr>
          <w:p w:rsidR="00E42B8A" w:rsidRPr="00D32F76" w:rsidRDefault="00E42B8A" w:rsidP="00E42B8A">
            <w:pPr>
              <w:jc w:val="center"/>
            </w:pPr>
            <w:r w:rsidRPr="005720DB">
              <w:t>2020 р.</w:t>
            </w:r>
          </w:p>
        </w:tc>
      </w:tr>
      <w:tr w:rsidR="00E42B8A" w:rsidRPr="00A96AAC" w:rsidTr="00C07F8A">
        <w:tc>
          <w:tcPr>
            <w:tcW w:w="5812" w:type="dxa"/>
            <w:shd w:val="clear" w:color="auto" w:fill="auto"/>
            <w:vAlign w:val="center"/>
          </w:tcPr>
          <w:p w:rsidR="00E42B8A" w:rsidRPr="00A96AAC" w:rsidRDefault="00E42B8A" w:rsidP="00E42B8A">
            <w:pPr>
              <w:rPr>
                <w:lang w:val="uk-UA"/>
              </w:rPr>
            </w:pPr>
            <w:r w:rsidRPr="00A96AAC">
              <w:rPr>
                <w:lang w:val="uk-UA"/>
              </w:rPr>
              <w:t>Пеня від надання фінансового кредиту</w:t>
            </w:r>
          </w:p>
        </w:tc>
        <w:tc>
          <w:tcPr>
            <w:tcW w:w="2126" w:type="dxa"/>
            <w:shd w:val="clear" w:color="auto" w:fill="auto"/>
            <w:vAlign w:val="center"/>
          </w:tcPr>
          <w:p w:rsidR="00E42B8A" w:rsidRPr="00A96AAC" w:rsidRDefault="00E42B8A" w:rsidP="00E42B8A">
            <w:pPr>
              <w:jc w:val="center"/>
              <w:rPr>
                <w:lang w:val="uk-UA"/>
              </w:rPr>
            </w:pPr>
          </w:p>
        </w:tc>
        <w:tc>
          <w:tcPr>
            <w:tcW w:w="2092" w:type="dxa"/>
            <w:shd w:val="clear" w:color="auto" w:fill="auto"/>
          </w:tcPr>
          <w:p w:rsidR="00E42B8A" w:rsidRPr="00245FDA" w:rsidRDefault="00245FDA" w:rsidP="00E42B8A">
            <w:pPr>
              <w:jc w:val="center"/>
              <w:rPr>
                <w:lang w:val="uk-UA"/>
              </w:rPr>
            </w:pPr>
            <w:r>
              <w:rPr>
                <w:lang w:val="uk-UA"/>
              </w:rPr>
              <w:t>56</w:t>
            </w:r>
          </w:p>
        </w:tc>
      </w:tr>
      <w:tr w:rsidR="00E42B8A" w:rsidRPr="00E52514" w:rsidTr="00C07F8A">
        <w:tc>
          <w:tcPr>
            <w:tcW w:w="5812" w:type="dxa"/>
            <w:shd w:val="clear" w:color="auto" w:fill="auto"/>
            <w:vAlign w:val="center"/>
          </w:tcPr>
          <w:p w:rsidR="00E42B8A" w:rsidRPr="00A96AAC" w:rsidRDefault="00E42B8A" w:rsidP="00E42B8A">
            <w:pPr>
              <w:rPr>
                <w:lang w:val="uk-UA"/>
              </w:rPr>
            </w:pPr>
            <w:r w:rsidRPr="00A96AAC">
              <w:rPr>
                <w:lang w:val="uk-UA"/>
              </w:rPr>
              <w:t>Дохiд вiд списання кредиторської заборгованностi</w:t>
            </w:r>
          </w:p>
        </w:tc>
        <w:tc>
          <w:tcPr>
            <w:tcW w:w="2126" w:type="dxa"/>
            <w:shd w:val="clear" w:color="auto" w:fill="auto"/>
            <w:vAlign w:val="center"/>
          </w:tcPr>
          <w:p w:rsidR="00E42B8A" w:rsidRPr="00A96AAC" w:rsidRDefault="00245FDA" w:rsidP="00E42B8A">
            <w:pPr>
              <w:jc w:val="center"/>
              <w:rPr>
                <w:lang w:val="uk-UA"/>
              </w:rPr>
            </w:pPr>
            <w:r>
              <w:rPr>
                <w:lang w:val="uk-UA"/>
              </w:rPr>
              <w:t>267</w:t>
            </w:r>
          </w:p>
        </w:tc>
        <w:tc>
          <w:tcPr>
            <w:tcW w:w="2092" w:type="dxa"/>
            <w:shd w:val="clear" w:color="auto" w:fill="auto"/>
          </w:tcPr>
          <w:p w:rsidR="00E42B8A" w:rsidRPr="00245FDA" w:rsidRDefault="00E42B8A" w:rsidP="00E42B8A">
            <w:pPr>
              <w:jc w:val="center"/>
              <w:rPr>
                <w:lang w:val="uk-UA"/>
              </w:rPr>
            </w:pPr>
          </w:p>
        </w:tc>
      </w:tr>
      <w:tr w:rsidR="00C559ED" w:rsidRPr="00A96AAC" w:rsidTr="00C07F8A">
        <w:tc>
          <w:tcPr>
            <w:tcW w:w="5812" w:type="dxa"/>
            <w:shd w:val="clear" w:color="auto" w:fill="auto"/>
            <w:vAlign w:val="center"/>
          </w:tcPr>
          <w:p w:rsidR="00C559ED" w:rsidRPr="00A96AAC" w:rsidRDefault="0072057E" w:rsidP="00E42B8A">
            <w:pPr>
              <w:rPr>
                <w:lang w:val="uk-UA"/>
              </w:rPr>
            </w:pPr>
            <w:r>
              <w:rPr>
                <w:lang w:val="uk-UA"/>
              </w:rPr>
              <w:t>Орендні поступки</w:t>
            </w:r>
          </w:p>
        </w:tc>
        <w:tc>
          <w:tcPr>
            <w:tcW w:w="2126" w:type="dxa"/>
            <w:shd w:val="clear" w:color="auto" w:fill="auto"/>
            <w:vAlign w:val="center"/>
          </w:tcPr>
          <w:p w:rsidR="00C559ED" w:rsidRDefault="00245FDA" w:rsidP="00E42B8A">
            <w:pPr>
              <w:jc w:val="center"/>
              <w:rPr>
                <w:lang w:val="uk-UA"/>
              </w:rPr>
            </w:pPr>
            <w:r>
              <w:rPr>
                <w:lang w:val="uk-UA"/>
              </w:rPr>
              <w:t>69</w:t>
            </w:r>
          </w:p>
        </w:tc>
        <w:tc>
          <w:tcPr>
            <w:tcW w:w="2092" w:type="dxa"/>
            <w:shd w:val="clear" w:color="auto" w:fill="auto"/>
          </w:tcPr>
          <w:p w:rsidR="00C559ED" w:rsidRPr="00C559ED" w:rsidRDefault="00245FDA" w:rsidP="00E42B8A">
            <w:pPr>
              <w:jc w:val="center"/>
              <w:rPr>
                <w:lang w:val="uk-UA"/>
              </w:rPr>
            </w:pPr>
            <w:r>
              <w:rPr>
                <w:lang w:val="uk-UA"/>
              </w:rPr>
              <w:t>69</w:t>
            </w:r>
          </w:p>
        </w:tc>
      </w:tr>
      <w:bookmarkEnd w:id="4"/>
      <w:tr w:rsidR="00E42B8A" w:rsidRPr="00A96AAC" w:rsidTr="00C07F8A">
        <w:tc>
          <w:tcPr>
            <w:tcW w:w="5812" w:type="dxa"/>
            <w:shd w:val="clear" w:color="auto" w:fill="auto"/>
            <w:vAlign w:val="center"/>
          </w:tcPr>
          <w:p w:rsidR="00E42B8A" w:rsidRPr="00A96AAC" w:rsidRDefault="00E42B8A" w:rsidP="00E42B8A">
            <w:pPr>
              <w:rPr>
                <w:lang w:val="uk-UA"/>
              </w:rPr>
            </w:pPr>
            <w:r w:rsidRPr="00A96AAC">
              <w:rPr>
                <w:lang w:val="uk-UA"/>
              </w:rPr>
              <w:t>Інші операційні доходи</w:t>
            </w:r>
          </w:p>
        </w:tc>
        <w:tc>
          <w:tcPr>
            <w:tcW w:w="2126" w:type="dxa"/>
            <w:shd w:val="clear" w:color="auto" w:fill="auto"/>
            <w:vAlign w:val="center"/>
          </w:tcPr>
          <w:p w:rsidR="00E42B8A" w:rsidRPr="00A96AAC" w:rsidRDefault="00245FDA" w:rsidP="00E42B8A">
            <w:pPr>
              <w:jc w:val="center"/>
              <w:rPr>
                <w:lang w:val="uk-UA"/>
              </w:rPr>
            </w:pPr>
            <w:r>
              <w:rPr>
                <w:lang w:val="uk-UA"/>
              </w:rPr>
              <w:t>6</w:t>
            </w:r>
          </w:p>
        </w:tc>
        <w:tc>
          <w:tcPr>
            <w:tcW w:w="2092" w:type="dxa"/>
            <w:shd w:val="clear" w:color="auto" w:fill="auto"/>
          </w:tcPr>
          <w:p w:rsidR="00E42B8A" w:rsidRPr="00245FDA" w:rsidRDefault="00245FDA" w:rsidP="00E42B8A">
            <w:pPr>
              <w:jc w:val="center"/>
              <w:rPr>
                <w:lang w:val="uk-UA"/>
              </w:rPr>
            </w:pPr>
            <w:r>
              <w:rPr>
                <w:lang w:val="uk-UA"/>
              </w:rPr>
              <w:t>295</w:t>
            </w:r>
          </w:p>
        </w:tc>
      </w:tr>
    </w:tbl>
    <w:p w:rsidR="00D32F76" w:rsidRDefault="00D32F76" w:rsidP="004F1CA4">
      <w:pPr>
        <w:jc w:val="both"/>
        <w:rPr>
          <w:b/>
          <w:lang w:val="uk-UA"/>
        </w:rPr>
      </w:pPr>
    </w:p>
    <w:p w:rsidR="00B023CB" w:rsidRDefault="00B023CB" w:rsidP="00742CB3">
      <w:pPr>
        <w:rPr>
          <w:b/>
          <w:lang w:val="uk-UA"/>
        </w:rPr>
      </w:pPr>
      <w:r>
        <w:rPr>
          <w:b/>
          <w:lang w:val="uk-UA"/>
        </w:rPr>
        <w:tab/>
      </w:r>
      <w:r w:rsidR="002F2240" w:rsidRPr="002F2240">
        <w:rPr>
          <w:b/>
          <w:lang w:val="uk-UA"/>
        </w:rPr>
        <w:t xml:space="preserve">Інші операційні </w:t>
      </w:r>
      <w:r w:rsidR="002F2240">
        <w:rPr>
          <w:b/>
          <w:lang w:val="uk-UA"/>
        </w:rPr>
        <w:t>витрати</w:t>
      </w:r>
      <w:r>
        <w:rPr>
          <w:b/>
          <w:lang w:val="uk-UA"/>
        </w:rPr>
        <w:t xml:space="preserve">  </w:t>
      </w:r>
    </w:p>
    <w:p w:rsidR="00D32F76" w:rsidRDefault="00B023CB" w:rsidP="00B023CB">
      <w:pPr>
        <w:jc w:val="both"/>
        <w:rPr>
          <w:b/>
          <w:lang w:val="uk-UA"/>
        </w:rPr>
      </w:pPr>
      <w:r>
        <w:rPr>
          <w:lang w:val="uk-UA"/>
        </w:rPr>
        <w:tab/>
      </w:r>
      <w:r w:rsidRPr="00B023CB">
        <w:rPr>
          <w:lang w:val="uk-UA"/>
        </w:rPr>
        <w:t xml:space="preserve">До інших операційних </w:t>
      </w:r>
      <w:r>
        <w:rPr>
          <w:lang w:val="uk-UA"/>
        </w:rPr>
        <w:t>витрат</w:t>
      </w:r>
      <w:r w:rsidRPr="00B023CB">
        <w:rPr>
          <w:lang w:val="uk-UA"/>
        </w:rPr>
        <w:t xml:space="preserve"> відносяться ви</w:t>
      </w:r>
      <w:r>
        <w:rPr>
          <w:lang w:val="uk-UA"/>
        </w:rPr>
        <w:t xml:space="preserve">трати, пов`язані з операційною </w:t>
      </w:r>
      <w:r w:rsidRPr="00B023CB">
        <w:rPr>
          <w:lang w:val="uk-UA"/>
        </w:rPr>
        <w:t>діяльністю</w:t>
      </w:r>
      <w:r>
        <w:rPr>
          <w:lang w:val="uk-UA"/>
        </w:rPr>
        <w:t xml:space="preserve"> Товариства, </w:t>
      </w:r>
      <w:r w:rsidR="00742CB3" w:rsidRPr="00742CB3">
        <w:rPr>
          <w:lang w:val="uk-UA"/>
        </w:rPr>
        <w:t>тис.грн.</w:t>
      </w:r>
      <w:r>
        <w:rPr>
          <w:lang w:val="uk-UA"/>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12"/>
        <w:gridCol w:w="2126"/>
        <w:gridCol w:w="2092"/>
      </w:tblGrid>
      <w:tr w:rsidR="006476EC" w:rsidRPr="00D32F76" w:rsidTr="0098384D">
        <w:tc>
          <w:tcPr>
            <w:tcW w:w="5812" w:type="dxa"/>
            <w:shd w:val="clear" w:color="auto" w:fill="auto"/>
          </w:tcPr>
          <w:p w:rsidR="006476EC" w:rsidRPr="00A96AAC" w:rsidRDefault="006476EC" w:rsidP="006476EC">
            <w:pPr>
              <w:jc w:val="center"/>
              <w:rPr>
                <w:lang w:val="uk-UA"/>
              </w:rPr>
            </w:pPr>
          </w:p>
        </w:tc>
        <w:tc>
          <w:tcPr>
            <w:tcW w:w="2126" w:type="dxa"/>
            <w:shd w:val="clear" w:color="auto" w:fill="auto"/>
          </w:tcPr>
          <w:p w:rsidR="006476EC" w:rsidRPr="00D32F76" w:rsidRDefault="006476EC" w:rsidP="006476EC">
            <w:pPr>
              <w:jc w:val="center"/>
            </w:pPr>
            <w:r w:rsidRPr="00D32F76">
              <w:t>202</w:t>
            </w:r>
            <w:r>
              <w:rPr>
                <w:lang w:val="uk-UA"/>
              </w:rPr>
              <w:t>1</w:t>
            </w:r>
            <w:r>
              <w:t xml:space="preserve"> р.</w:t>
            </w:r>
          </w:p>
        </w:tc>
        <w:tc>
          <w:tcPr>
            <w:tcW w:w="2092" w:type="dxa"/>
            <w:shd w:val="clear" w:color="auto" w:fill="auto"/>
          </w:tcPr>
          <w:p w:rsidR="006476EC" w:rsidRPr="00D32F76" w:rsidRDefault="006476EC" w:rsidP="006476EC">
            <w:pPr>
              <w:jc w:val="center"/>
            </w:pPr>
            <w:r w:rsidRPr="009317F4">
              <w:t>2020 р.</w:t>
            </w:r>
          </w:p>
        </w:tc>
      </w:tr>
      <w:tr w:rsidR="006476EC" w:rsidRPr="00A96AAC" w:rsidTr="0098384D">
        <w:tc>
          <w:tcPr>
            <w:tcW w:w="5812" w:type="dxa"/>
            <w:shd w:val="clear" w:color="auto" w:fill="auto"/>
            <w:vAlign w:val="center"/>
          </w:tcPr>
          <w:p w:rsidR="006476EC" w:rsidRPr="00A96AAC" w:rsidRDefault="006476EC" w:rsidP="006476EC">
            <w:pPr>
              <w:rPr>
                <w:lang w:val="uk-UA"/>
              </w:rPr>
            </w:pPr>
            <w:r w:rsidRPr="00A96AAC">
              <w:rPr>
                <w:lang w:val="uk-UA"/>
              </w:rPr>
              <w:t>Резерв небанківських фінансових установ</w:t>
            </w:r>
          </w:p>
        </w:tc>
        <w:tc>
          <w:tcPr>
            <w:tcW w:w="2126" w:type="dxa"/>
            <w:shd w:val="clear" w:color="auto" w:fill="auto"/>
            <w:vAlign w:val="center"/>
          </w:tcPr>
          <w:p w:rsidR="006476EC" w:rsidRPr="00A96AAC" w:rsidRDefault="0098384D" w:rsidP="006476EC">
            <w:pPr>
              <w:jc w:val="center"/>
              <w:rPr>
                <w:lang w:val="uk-UA"/>
              </w:rPr>
            </w:pPr>
            <w:r>
              <w:rPr>
                <w:lang w:val="uk-UA"/>
              </w:rPr>
              <w:t>7</w:t>
            </w:r>
          </w:p>
        </w:tc>
        <w:tc>
          <w:tcPr>
            <w:tcW w:w="2092" w:type="dxa"/>
            <w:shd w:val="clear" w:color="auto" w:fill="auto"/>
          </w:tcPr>
          <w:p w:rsidR="006476EC" w:rsidRPr="0098384D" w:rsidRDefault="006476EC" w:rsidP="006476EC">
            <w:pPr>
              <w:jc w:val="center"/>
              <w:rPr>
                <w:lang w:val="uk-UA"/>
              </w:rPr>
            </w:pPr>
          </w:p>
        </w:tc>
      </w:tr>
      <w:tr w:rsidR="0098384D" w:rsidRPr="00A96AAC" w:rsidTr="0098384D">
        <w:tc>
          <w:tcPr>
            <w:tcW w:w="5812" w:type="dxa"/>
            <w:shd w:val="clear" w:color="auto" w:fill="auto"/>
            <w:vAlign w:val="center"/>
          </w:tcPr>
          <w:p w:rsidR="0098384D" w:rsidRPr="00A96AAC" w:rsidRDefault="0098384D" w:rsidP="006476EC">
            <w:pPr>
              <w:rPr>
                <w:lang w:val="uk-UA"/>
              </w:rPr>
            </w:pPr>
            <w:r>
              <w:rPr>
                <w:lang w:val="uk-UA"/>
              </w:rPr>
              <w:t>Списання с</w:t>
            </w:r>
            <w:r w:rsidRPr="00D25314">
              <w:rPr>
                <w:lang w:val="uk-UA"/>
              </w:rPr>
              <w:t>умнівн</w:t>
            </w:r>
            <w:r>
              <w:rPr>
                <w:lang w:val="uk-UA"/>
              </w:rPr>
              <w:t>их</w:t>
            </w:r>
            <w:r w:rsidRPr="00D25314">
              <w:rPr>
                <w:lang w:val="uk-UA"/>
              </w:rPr>
              <w:t xml:space="preserve"> та безнадійн</w:t>
            </w:r>
            <w:r>
              <w:rPr>
                <w:lang w:val="uk-UA"/>
              </w:rPr>
              <w:t>их</w:t>
            </w:r>
            <w:r w:rsidRPr="00D25314">
              <w:rPr>
                <w:lang w:val="uk-UA"/>
              </w:rPr>
              <w:t xml:space="preserve"> борг</w:t>
            </w:r>
            <w:r>
              <w:rPr>
                <w:lang w:val="uk-UA"/>
              </w:rPr>
              <w:t>ів (вилучені на підставі ухвали слідчого судді)</w:t>
            </w:r>
          </w:p>
        </w:tc>
        <w:tc>
          <w:tcPr>
            <w:tcW w:w="2126" w:type="dxa"/>
            <w:shd w:val="clear" w:color="auto" w:fill="auto"/>
            <w:vAlign w:val="center"/>
          </w:tcPr>
          <w:p w:rsidR="0098384D" w:rsidRPr="00A96AAC" w:rsidRDefault="0098384D" w:rsidP="006476EC">
            <w:pPr>
              <w:jc w:val="center"/>
              <w:rPr>
                <w:lang w:val="uk-UA"/>
              </w:rPr>
            </w:pPr>
            <w:r>
              <w:rPr>
                <w:lang w:val="uk-UA"/>
              </w:rPr>
              <w:t>40</w:t>
            </w:r>
          </w:p>
        </w:tc>
        <w:tc>
          <w:tcPr>
            <w:tcW w:w="2092" w:type="dxa"/>
            <w:shd w:val="clear" w:color="auto" w:fill="auto"/>
          </w:tcPr>
          <w:p w:rsidR="0098384D" w:rsidRPr="00A96AAC" w:rsidRDefault="0098384D" w:rsidP="006476EC">
            <w:pPr>
              <w:jc w:val="center"/>
              <w:rPr>
                <w:lang w:val="uk-UA"/>
              </w:rPr>
            </w:pPr>
            <w:r>
              <w:rPr>
                <w:lang w:val="uk-UA"/>
              </w:rPr>
              <w:t>8</w:t>
            </w:r>
          </w:p>
        </w:tc>
      </w:tr>
      <w:tr w:rsidR="00B3177C" w:rsidRPr="00A96AAC" w:rsidTr="0098384D">
        <w:tc>
          <w:tcPr>
            <w:tcW w:w="5812" w:type="dxa"/>
            <w:shd w:val="clear" w:color="auto" w:fill="auto"/>
            <w:vAlign w:val="center"/>
          </w:tcPr>
          <w:p w:rsidR="00B3177C" w:rsidRDefault="00B3177C" w:rsidP="006476EC">
            <w:pPr>
              <w:rPr>
                <w:lang w:val="uk-UA"/>
              </w:rPr>
            </w:pPr>
            <w:r>
              <w:rPr>
                <w:lang w:val="uk-UA"/>
              </w:rPr>
              <w:t>Орендна плата</w:t>
            </w:r>
          </w:p>
        </w:tc>
        <w:tc>
          <w:tcPr>
            <w:tcW w:w="2126" w:type="dxa"/>
            <w:shd w:val="clear" w:color="auto" w:fill="auto"/>
            <w:vAlign w:val="center"/>
          </w:tcPr>
          <w:p w:rsidR="00B3177C" w:rsidRDefault="00B3177C" w:rsidP="006476EC">
            <w:pPr>
              <w:jc w:val="center"/>
              <w:rPr>
                <w:lang w:val="uk-UA"/>
              </w:rPr>
            </w:pPr>
            <w:r>
              <w:rPr>
                <w:lang w:val="uk-UA"/>
              </w:rPr>
              <w:t>992</w:t>
            </w:r>
          </w:p>
        </w:tc>
        <w:tc>
          <w:tcPr>
            <w:tcW w:w="2092" w:type="dxa"/>
            <w:shd w:val="clear" w:color="auto" w:fill="auto"/>
          </w:tcPr>
          <w:p w:rsidR="00B3177C" w:rsidRDefault="00B3177C" w:rsidP="006476EC">
            <w:pPr>
              <w:jc w:val="center"/>
              <w:rPr>
                <w:lang w:val="uk-UA"/>
              </w:rPr>
            </w:pPr>
            <w:r>
              <w:rPr>
                <w:lang w:val="uk-UA"/>
              </w:rPr>
              <w:t>735</w:t>
            </w:r>
          </w:p>
        </w:tc>
      </w:tr>
      <w:tr w:rsidR="0098384D" w:rsidRPr="00A96AAC" w:rsidTr="0098384D">
        <w:tc>
          <w:tcPr>
            <w:tcW w:w="5812" w:type="dxa"/>
            <w:shd w:val="clear" w:color="auto" w:fill="auto"/>
            <w:vAlign w:val="center"/>
          </w:tcPr>
          <w:p w:rsidR="0098384D" w:rsidRPr="00A96AAC" w:rsidRDefault="0098384D" w:rsidP="006476EC">
            <w:pPr>
              <w:rPr>
                <w:lang w:val="uk-UA"/>
              </w:rPr>
            </w:pPr>
            <w:r w:rsidRPr="00A96AAC">
              <w:rPr>
                <w:lang w:val="uk-UA"/>
              </w:rPr>
              <w:t>Інші операційні витрати</w:t>
            </w:r>
          </w:p>
        </w:tc>
        <w:tc>
          <w:tcPr>
            <w:tcW w:w="2126" w:type="dxa"/>
            <w:shd w:val="clear" w:color="auto" w:fill="auto"/>
            <w:vAlign w:val="center"/>
          </w:tcPr>
          <w:p w:rsidR="0098384D" w:rsidRPr="00A96AAC" w:rsidRDefault="00B3177C" w:rsidP="006476EC">
            <w:pPr>
              <w:jc w:val="center"/>
              <w:rPr>
                <w:lang w:val="uk-UA"/>
              </w:rPr>
            </w:pPr>
            <w:r>
              <w:rPr>
                <w:lang w:val="uk-UA"/>
              </w:rPr>
              <w:t>633</w:t>
            </w:r>
          </w:p>
        </w:tc>
        <w:tc>
          <w:tcPr>
            <w:tcW w:w="2092" w:type="dxa"/>
            <w:shd w:val="clear" w:color="auto" w:fill="auto"/>
          </w:tcPr>
          <w:p w:rsidR="0098384D" w:rsidRPr="00D25314" w:rsidRDefault="00B3177C" w:rsidP="006476EC">
            <w:pPr>
              <w:jc w:val="center"/>
              <w:rPr>
                <w:lang w:val="uk-UA"/>
              </w:rPr>
            </w:pPr>
            <w:r>
              <w:rPr>
                <w:lang w:val="uk-UA"/>
              </w:rPr>
              <w:t>536</w:t>
            </w:r>
          </w:p>
        </w:tc>
      </w:tr>
    </w:tbl>
    <w:p w:rsidR="0098384D" w:rsidRDefault="00B023CB" w:rsidP="004F1CA4">
      <w:pPr>
        <w:jc w:val="both"/>
        <w:rPr>
          <w:b/>
          <w:lang w:val="uk-UA"/>
        </w:rPr>
      </w:pPr>
      <w:r>
        <w:rPr>
          <w:b/>
          <w:lang w:val="uk-UA"/>
        </w:rPr>
        <w:tab/>
      </w:r>
    </w:p>
    <w:p w:rsidR="005E61E5" w:rsidRDefault="0098384D" w:rsidP="004F1CA4">
      <w:pPr>
        <w:jc w:val="both"/>
        <w:rPr>
          <w:b/>
          <w:lang w:val="uk-UA"/>
        </w:rPr>
      </w:pPr>
      <w:r>
        <w:rPr>
          <w:b/>
          <w:lang w:val="uk-UA"/>
        </w:rPr>
        <w:t xml:space="preserve">        </w:t>
      </w:r>
      <w:r w:rsidR="0020448A">
        <w:rPr>
          <w:b/>
          <w:lang w:val="uk-UA"/>
        </w:rPr>
        <w:t>6.1</w:t>
      </w:r>
      <w:r>
        <w:rPr>
          <w:b/>
          <w:lang w:val="uk-UA"/>
        </w:rPr>
        <w:t>1</w:t>
      </w:r>
      <w:r w:rsidR="0020448A">
        <w:rPr>
          <w:b/>
          <w:lang w:val="uk-UA"/>
        </w:rPr>
        <w:t xml:space="preserve">. </w:t>
      </w:r>
      <w:r w:rsidR="005E61E5" w:rsidRPr="00DD57A1">
        <w:rPr>
          <w:b/>
          <w:lang w:val="uk-UA"/>
        </w:rPr>
        <w:t>Адміністративні витрати</w:t>
      </w:r>
    </w:p>
    <w:p w:rsidR="007744D4" w:rsidRDefault="00B023CB" w:rsidP="003A7BD9">
      <w:pPr>
        <w:jc w:val="both"/>
        <w:rPr>
          <w:lang w:val="uk-UA"/>
        </w:rPr>
      </w:pPr>
      <w:r>
        <w:rPr>
          <w:lang w:val="uk-UA"/>
        </w:rPr>
        <w:tab/>
      </w:r>
      <w:r w:rsidR="007744D4" w:rsidRPr="001E6696">
        <w:rPr>
          <w:lang w:val="uk-UA"/>
        </w:rPr>
        <w:t>У складі Адміністративних витрат відображаються витрати на адміністративний персонал та інші витрати, пов`язані з управлінням та обслуговуванням Товариства. До адміністративного персоналу відносяться співробітники головного офісу, які займаються управлінською</w:t>
      </w:r>
      <w:r w:rsidR="006C12A9">
        <w:rPr>
          <w:lang w:val="uk-UA"/>
        </w:rPr>
        <w:t xml:space="preserve"> </w:t>
      </w:r>
      <w:r w:rsidR="00407613">
        <w:rPr>
          <w:lang w:val="uk-UA"/>
        </w:rPr>
        <w:t>діяльністю, тис.грн.:</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12"/>
        <w:gridCol w:w="2126"/>
        <w:gridCol w:w="2092"/>
      </w:tblGrid>
      <w:tr w:rsidR="00405CF6" w:rsidRPr="00A96AAC" w:rsidTr="00256006">
        <w:tc>
          <w:tcPr>
            <w:tcW w:w="5812" w:type="dxa"/>
            <w:shd w:val="clear" w:color="auto" w:fill="auto"/>
          </w:tcPr>
          <w:p w:rsidR="00405CF6" w:rsidRPr="00A96AAC" w:rsidRDefault="00405CF6" w:rsidP="00405CF6">
            <w:pPr>
              <w:jc w:val="both"/>
              <w:rPr>
                <w:lang w:val="uk-UA"/>
              </w:rPr>
            </w:pPr>
          </w:p>
        </w:tc>
        <w:tc>
          <w:tcPr>
            <w:tcW w:w="2126" w:type="dxa"/>
            <w:shd w:val="clear" w:color="auto" w:fill="auto"/>
          </w:tcPr>
          <w:p w:rsidR="00405CF6" w:rsidRPr="00A96AAC" w:rsidRDefault="00405CF6" w:rsidP="00405CF6">
            <w:pPr>
              <w:jc w:val="center"/>
              <w:rPr>
                <w:lang w:val="uk-UA"/>
              </w:rPr>
            </w:pPr>
            <w:r w:rsidRPr="00A96AAC">
              <w:rPr>
                <w:lang w:val="uk-UA"/>
              </w:rPr>
              <w:t>202</w:t>
            </w:r>
            <w:r>
              <w:rPr>
                <w:lang w:val="uk-UA"/>
              </w:rPr>
              <w:t>1</w:t>
            </w:r>
            <w:r w:rsidRPr="00A96AAC">
              <w:rPr>
                <w:lang w:val="uk-UA"/>
              </w:rPr>
              <w:t xml:space="preserve"> р.</w:t>
            </w:r>
          </w:p>
        </w:tc>
        <w:tc>
          <w:tcPr>
            <w:tcW w:w="2092" w:type="dxa"/>
            <w:shd w:val="clear" w:color="auto" w:fill="auto"/>
          </w:tcPr>
          <w:p w:rsidR="00405CF6" w:rsidRPr="00A96AAC" w:rsidRDefault="00405CF6" w:rsidP="00405CF6">
            <w:pPr>
              <w:jc w:val="center"/>
              <w:rPr>
                <w:lang w:val="uk-UA"/>
              </w:rPr>
            </w:pPr>
            <w:r w:rsidRPr="000128A3">
              <w:t>2020 р.</w:t>
            </w:r>
          </w:p>
        </w:tc>
      </w:tr>
      <w:tr w:rsidR="00405CF6" w:rsidRPr="00A96AAC" w:rsidTr="00256006">
        <w:tc>
          <w:tcPr>
            <w:tcW w:w="5812" w:type="dxa"/>
            <w:shd w:val="clear" w:color="auto" w:fill="auto"/>
          </w:tcPr>
          <w:p w:rsidR="00405CF6" w:rsidRPr="00A96AAC" w:rsidRDefault="00405CF6" w:rsidP="00405CF6">
            <w:pPr>
              <w:jc w:val="both"/>
              <w:rPr>
                <w:lang w:val="uk-UA"/>
              </w:rPr>
            </w:pPr>
            <w:r w:rsidRPr="00A96AAC">
              <w:rPr>
                <w:lang w:val="uk-UA"/>
              </w:rPr>
              <w:t>МПШ та витратні матеріали</w:t>
            </w:r>
          </w:p>
        </w:tc>
        <w:tc>
          <w:tcPr>
            <w:tcW w:w="2126" w:type="dxa"/>
            <w:shd w:val="clear" w:color="auto" w:fill="auto"/>
          </w:tcPr>
          <w:p w:rsidR="00405CF6" w:rsidRPr="00A96AAC" w:rsidRDefault="0098384D" w:rsidP="00405CF6">
            <w:pPr>
              <w:jc w:val="center"/>
              <w:rPr>
                <w:lang w:val="uk-UA"/>
              </w:rPr>
            </w:pPr>
            <w:r>
              <w:rPr>
                <w:lang w:val="uk-UA"/>
              </w:rPr>
              <w:t>68</w:t>
            </w:r>
          </w:p>
        </w:tc>
        <w:tc>
          <w:tcPr>
            <w:tcW w:w="2092" w:type="dxa"/>
            <w:shd w:val="clear" w:color="auto" w:fill="auto"/>
          </w:tcPr>
          <w:p w:rsidR="00405CF6" w:rsidRPr="0098384D" w:rsidRDefault="0098384D" w:rsidP="00405CF6">
            <w:pPr>
              <w:jc w:val="center"/>
              <w:rPr>
                <w:lang w:val="uk-UA"/>
              </w:rPr>
            </w:pPr>
            <w:r>
              <w:rPr>
                <w:lang w:val="uk-UA"/>
              </w:rPr>
              <w:t>108</w:t>
            </w:r>
          </w:p>
        </w:tc>
      </w:tr>
      <w:tr w:rsidR="00405CF6" w:rsidRPr="00A96AAC" w:rsidTr="00256006">
        <w:tc>
          <w:tcPr>
            <w:tcW w:w="5812" w:type="dxa"/>
            <w:shd w:val="clear" w:color="auto" w:fill="auto"/>
          </w:tcPr>
          <w:p w:rsidR="00405CF6" w:rsidRPr="00A96AAC" w:rsidRDefault="00405CF6" w:rsidP="00405CF6">
            <w:pPr>
              <w:jc w:val="both"/>
              <w:rPr>
                <w:lang w:val="uk-UA"/>
              </w:rPr>
            </w:pPr>
            <w:r w:rsidRPr="00A96AAC">
              <w:rPr>
                <w:lang w:val="uk-UA"/>
              </w:rPr>
              <w:t xml:space="preserve">Заробітна плата </w:t>
            </w:r>
          </w:p>
        </w:tc>
        <w:tc>
          <w:tcPr>
            <w:tcW w:w="2126" w:type="dxa"/>
            <w:shd w:val="clear" w:color="auto" w:fill="auto"/>
          </w:tcPr>
          <w:p w:rsidR="00405CF6" w:rsidRPr="00A96AAC" w:rsidRDefault="0098384D" w:rsidP="00405CF6">
            <w:pPr>
              <w:jc w:val="center"/>
              <w:rPr>
                <w:lang w:val="uk-UA"/>
              </w:rPr>
            </w:pPr>
            <w:r>
              <w:rPr>
                <w:lang w:val="uk-UA"/>
              </w:rPr>
              <w:t>1740</w:t>
            </w:r>
          </w:p>
        </w:tc>
        <w:tc>
          <w:tcPr>
            <w:tcW w:w="2092" w:type="dxa"/>
            <w:shd w:val="clear" w:color="auto" w:fill="auto"/>
          </w:tcPr>
          <w:p w:rsidR="00405CF6" w:rsidRPr="0098384D" w:rsidRDefault="0098384D" w:rsidP="00405CF6">
            <w:pPr>
              <w:jc w:val="center"/>
              <w:rPr>
                <w:lang w:val="uk-UA"/>
              </w:rPr>
            </w:pPr>
            <w:r>
              <w:rPr>
                <w:lang w:val="uk-UA"/>
              </w:rPr>
              <w:t>1417</w:t>
            </w:r>
          </w:p>
        </w:tc>
      </w:tr>
      <w:tr w:rsidR="00405CF6" w:rsidRPr="00A96AAC" w:rsidTr="00256006">
        <w:tc>
          <w:tcPr>
            <w:tcW w:w="5812" w:type="dxa"/>
            <w:shd w:val="clear" w:color="auto" w:fill="auto"/>
          </w:tcPr>
          <w:p w:rsidR="00405CF6" w:rsidRPr="00A96AAC" w:rsidRDefault="00405CF6" w:rsidP="00405CF6">
            <w:pPr>
              <w:jc w:val="both"/>
              <w:rPr>
                <w:lang w:val="uk-UA"/>
              </w:rPr>
            </w:pPr>
            <w:r w:rsidRPr="00A96AAC">
              <w:rPr>
                <w:lang w:val="uk-UA"/>
              </w:rPr>
              <w:t>Відрахування на соціальні заходи</w:t>
            </w:r>
          </w:p>
        </w:tc>
        <w:tc>
          <w:tcPr>
            <w:tcW w:w="2126" w:type="dxa"/>
            <w:shd w:val="clear" w:color="auto" w:fill="auto"/>
          </w:tcPr>
          <w:p w:rsidR="00405CF6" w:rsidRPr="00A96AAC" w:rsidRDefault="0098384D" w:rsidP="00405CF6">
            <w:pPr>
              <w:jc w:val="center"/>
              <w:rPr>
                <w:lang w:val="uk-UA"/>
              </w:rPr>
            </w:pPr>
            <w:r>
              <w:rPr>
                <w:lang w:val="uk-UA"/>
              </w:rPr>
              <w:t>386</w:t>
            </w:r>
          </w:p>
        </w:tc>
        <w:tc>
          <w:tcPr>
            <w:tcW w:w="2092" w:type="dxa"/>
            <w:shd w:val="clear" w:color="auto" w:fill="auto"/>
          </w:tcPr>
          <w:p w:rsidR="00405CF6" w:rsidRPr="0098384D" w:rsidRDefault="0098384D" w:rsidP="00405CF6">
            <w:pPr>
              <w:jc w:val="center"/>
              <w:rPr>
                <w:lang w:val="uk-UA"/>
              </w:rPr>
            </w:pPr>
            <w:r>
              <w:rPr>
                <w:lang w:val="uk-UA"/>
              </w:rPr>
              <w:t>316</w:t>
            </w:r>
          </w:p>
        </w:tc>
      </w:tr>
      <w:tr w:rsidR="00405CF6" w:rsidRPr="00A96AAC" w:rsidTr="00256006">
        <w:tc>
          <w:tcPr>
            <w:tcW w:w="5812" w:type="dxa"/>
            <w:shd w:val="clear" w:color="auto" w:fill="auto"/>
          </w:tcPr>
          <w:p w:rsidR="00405CF6" w:rsidRPr="00A96AAC" w:rsidRDefault="00405CF6" w:rsidP="00405CF6">
            <w:pPr>
              <w:jc w:val="both"/>
              <w:rPr>
                <w:lang w:val="uk-UA"/>
              </w:rPr>
            </w:pPr>
            <w:r w:rsidRPr="00A96AAC">
              <w:rPr>
                <w:lang w:val="uk-UA"/>
              </w:rPr>
              <w:t>Амортизація</w:t>
            </w:r>
          </w:p>
        </w:tc>
        <w:tc>
          <w:tcPr>
            <w:tcW w:w="2126" w:type="dxa"/>
            <w:shd w:val="clear" w:color="auto" w:fill="auto"/>
          </w:tcPr>
          <w:p w:rsidR="00405CF6" w:rsidRPr="00A96AAC" w:rsidRDefault="0098384D" w:rsidP="00405CF6">
            <w:pPr>
              <w:jc w:val="center"/>
              <w:rPr>
                <w:lang w:val="uk-UA"/>
              </w:rPr>
            </w:pPr>
            <w:r>
              <w:rPr>
                <w:lang w:val="uk-UA"/>
              </w:rPr>
              <w:t>121</w:t>
            </w:r>
          </w:p>
        </w:tc>
        <w:tc>
          <w:tcPr>
            <w:tcW w:w="2092" w:type="dxa"/>
            <w:shd w:val="clear" w:color="auto" w:fill="auto"/>
          </w:tcPr>
          <w:p w:rsidR="00405CF6" w:rsidRPr="0098384D" w:rsidRDefault="0098384D" w:rsidP="00405CF6">
            <w:pPr>
              <w:jc w:val="center"/>
              <w:rPr>
                <w:lang w:val="uk-UA"/>
              </w:rPr>
            </w:pPr>
            <w:r>
              <w:rPr>
                <w:lang w:val="uk-UA"/>
              </w:rPr>
              <w:t>90</w:t>
            </w:r>
          </w:p>
        </w:tc>
      </w:tr>
      <w:tr w:rsidR="00B3177C" w:rsidRPr="00A96AAC" w:rsidTr="00256006">
        <w:tc>
          <w:tcPr>
            <w:tcW w:w="5812" w:type="dxa"/>
            <w:shd w:val="clear" w:color="auto" w:fill="auto"/>
          </w:tcPr>
          <w:p w:rsidR="00B3177C" w:rsidRPr="00A96AAC" w:rsidRDefault="00B3177C" w:rsidP="00405CF6">
            <w:pPr>
              <w:jc w:val="both"/>
              <w:rPr>
                <w:lang w:val="uk-UA"/>
              </w:rPr>
            </w:pPr>
            <w:r w:rsidRPr="00A96AAC">
              <w:rPr>
                <w:lang w:val="uk-UA"/>
              </w:rPr>
              <w:t>Послуги зв’язку</w:t>
            </w:r>
          </w:p>
        </w:tc>
        <w:tc>
          <w:tcPr>
            <w:tcW w:w="2126" w:type="dxa"/>
            <w:shd w:val="clear" w:color="auto" w:fill="auto"/>
          </w:tcPr>
          <w:p w:rsidR="00B3177C" w:rsidRPr="00A96AAC" w:rsidRDefault="00B3177C" w:rsidP="00405CF6">
            <w:pPr>
              <w:jc w:val="center"/>
              <w:rPr>
                <w:lang w:val="uk-UA"/>
              </w:rPr>
            </w:pPr>
            <w:r>
              <w:rPr>
                <w:lang w:val="uk-UA"/>
              </w:rPr>
              <w:t>36</w:t>
            </w:r>
          </w:p>
        </w:tc>
        <w:tc>
          <w:tcPr>
            <w:tcW w:w="2092" w:type="dxa"/>
            <w:shd w:val="clear" w:color="auto" w:fill="auto"/>
          </w:tcPr>
          <w:p w:rsidR="00B3177C" w:rsidRPr="00A96AAC" w:rsidRDefault="00B3177C" w:rsidP="00405CF6">
            <w:pPr>
              <w:jc w:val="center"/>
              <w:rPr>
                <w:lang w:val="uk-UA"/>
              </w:rPr>
            </w:pPr>
            <w:r>
              <w:rPr>
                <w:lang w:val="uk-UA"/>
              </w:rPr>
              <w:t>39</w:t>
            </w:r>
          </w:p>
        </w:tc>
      </w:tr>
      <w:tr w:rsidR="00B3177C" w:rsidRPr="00A96AAC" w:rsidTr="00256006">
        <w:tc>
          <w:tcPr>
            <w:tcW w:w="5812" w:type="dxa"/>
            <w:shd w:val="clear" w:color="auto" w:fill="auto"/>
          </w:tcPr>
          <w:p w:rsidR="00B3177C" w:rsidRPr="00A96AAC" w:rsidRDefault="00B3177C" w:rsidP="00405CF6">
            <w:pPr>
              <w:jc w:val="both"/>
              <w:rPr>
                <w:lang w:val="uk-UA"/>
              </w:rPr>
            </w:pPr>
            <w:r w:rsidRPr="00A96AAC">
              <w:rPr>
                <w:lang w:val="uk-UA"/>
              </w:rPr>
              <w:t>Послуги банку</w:t>
            </w:r>
          </w:p>
        </w:tc>
        <w:tc>
          <w:tcPr>
            <w:tcW w:w="2126" w:type="dxa"/>
            <w:shd w:val="clear" w:color="auto" w:fill="auto"/>
          </w:tcPr>
          <w:p w:rsidR="00B3177C" w:rsidRPr="00A96AAC" w:rsidRDefault="00B3177C" w:rsidP="00405CF6">
            <w:pPr>
              <w:jc w:val="center"/>
              <w:rPr>
                <w:lang w:val="uk-UA"/>
              </w:rPr>
            </w:pPr>
            <w:r>
              <w:rPr>
                <w:lang w:val="uk-UA"/>
              </w:rPr>
              <w:t>74</w:t>
            </w:r>
          </w:p>
        </w:tc>
        <w:tc>
          <w:tcPr>
            <w:tcW w:w="2092" w:type="dxa"/>
            <w:shd w:val="clear" w:color="auto" w:fill="auto"/>
          </w:tcPr>
          <w:p w:rsidR="00B3177C" w:rsidRPr="00B3177C" w:rsidRDefault="00B3177C" w:rsidP="00405CF6">
            <w:pPr>
              <w:jc w:val="center"/>
              <w:rPr>
                <w:lang w:val="uk-UA"/>
              </w:rPr>
            </w:pPr>
            <w:r>
              <w:rPr>
                <w:lang w:val="uk-UA"/>
              </w:rPr>
              <w:t>31</w:t>
            </w:r>
          </w:p>
        </w:tc>
      </w:tr>
      <w:tr w:rsidR="00B3177C" w:rsidRPr="00A96AAC" w:rsidTr="00256006">
        <w:tc>
          <w:tcPr>
            <w:tcW w:w="5812" w:type="dxa"/>
            <w:shd w:val="clear" w:color="auto" w:fill="auto"/>
          </w:tcPr>
          <w:p w:rsidR="00B3177C" w:rsidRPr="00A96AAC" w:rsidRDefault="00B3177C" w:rsidP="00405CF6">
            <w:pPr>
              <w:jc w:val="both"/>
              <w:rPr>
                <w:lang w:val="uk-UA"/>
              </w:rPr>
            </w:pPr>
            <w:r>
              <w:rPr>
                <w:lang w:val="uk-UA"/>
              </w:rPr>
              <w:t>С</w:t>
            </w:r>
            <w:r w:rsidRPr="008258AA">
              <w:rPr>
                <w:lang w:val="uk-UA"/>
              </w:rPr>
              <w:t>ервісн</w:t>
            </w:r>
            <w:r>
              <w:rPr>
                <w:lang w:val="uk-UA"/>
              </w:rPr>
              <w:t>е</w:t>
            </w:r>
            <w:r w:rsidRPr="008258AA">
              <w:rPr>
                <w:lang w:val="uk-UA"/>
              </w:rPr>
              <w:t xml:space="preserve"> обслуговування веб-сайту</w:t>
            </w:r>
          </w:p>
        </w:tc>
        <w:tc>
          <w:tcPr>
            <w:tcW w:w="2126" w:type="dxa"/>
            <w:shd w:val="clear" w:color="auto" w:fill="auto"/>
          </w:tcPr>
          <w:p w:rsidR="00B3177C" w:rsidRPr="00A96AAC" w:rsidRDefault="00B3177C" w:rsidP="00405CF6">
            <w:pPr>
              <w:jc w:val="center"/>
              <w:rPr>
                <w:lang w:val="uk-UA"/>
              </w:rPr>
            </w:pPr>
            <w:r>
              <w:rPr>
                <w:lang w:val="uk-UA"/>
              </w:rPr>
              <w:t>17</w:t>
            </w:r>
          </w:p>
        </w:tc>
        <w:tc>
          <w:tcPr>
            <w:tcW w:w="2092" w:type="dxa"/>
            <w:shd w:val="clear" w:color="auto" w:fill="auto"/>
          </w:tcPr>
          <w:p w:rsidR="00B3177C" w:rsidRPr="00256006" w:rsidRDefault="00256006" w:rsidP="00405CF6">
            <w:pPr>
              <w:jc w:val="center"/>
              <w:rPr>
                <w:lang w:val="uk-UA"/>
              </w:rPr>
            </w:pPr>
            <w:r>
              <w:rPr>
                <w:lang w:val="uk-UA"/>
              </w:rPr>
              <w:t>8</w:t>
            </w:r>
          </w:p>
        </w:tc>
      </w:tr>
      <w:tr w:rsidR="00B3177C" w:rsidRPr="00A96AAC" w:rsidTr="00256006">
        <w:tc>
          <w:tcPr>
            <w:tcW w:w="5812" w:type="dxa"/>
            <w:shd w:val="clear" w:color="auto" w:fill="auto"/>
          </w:tcPr>
          <w:p w:rsidR="00B3177C" w:rsidRPr="00A96AAC" w:rsidRDefault="00B3177C" w:rsidP="00405CF6">
            <w:pPr>
              <w:jc w:val="both"/>
              <w:rPr>
                <w:lang w:val="uk-UA"/>
              </w:rPr>
            </w:pPr>
            <w:r w:rsidRPr="00A96AAC">
              <w:rPr>
                <w:lang w:val="uk-UA"/>
              </w:rPr>
              <w:t>Інші витрати</w:t>
            </w:r>
          </w:p>
        </w:tc>
        <w:tc>
          <w:tcPr>
            <w:tcW w:w="2126" w:type="dxa"/>
            <w:shd w:val="clear" w:color="auto" w:fill="auto"/>
          </w:tcPr>
          <w:p w:rsidR="00B3177C" w:rsidRPr="00A96AAC" w:rsidRDefault="00256006" w:rsidP="00405CF6">
            <w:pPr>
              <w:jc w:val="center"/>
              <w:rPr>
                <w:lang w:val="uk-UA"/>
              </w:rPr>
            </w:pPr>
            <w:r>
              <w:rPr>
                <w:lang w:val="uk-UA"/>
              </w:rPr>
              <w:t>11</w:t>
            </w:r>
          </w:p>
        </w:tc>
        <w:tc>
          <w:tcPr>
            <w:tcW w:w="2092" w:type="dxa"/>
            <w:shd w:val="clear" w:color="auto" w:fill="auto"/>
          </w:tcPr>
          <w:p w:rsidR="00B3177C" w:rsidRPr="008258AA" w:rsidRDefault="00256006" w:rsidP="00405CF6">
            <w:pPr>
              <w:jc w:val="center"/>
              <w:rPr>
                <w:lang w:val="uk-UA"/>
              </w:rPr>
            </w:pPr>
            <w:r>
              <w:rPr>
                <w:lang w:val="uk-UA"/>
              </w:rPr>
              <w:t>2</w:t>
            </w:r>
          </w:p>
        </w:tc>
      </w:tr>
      <w:tr w:rsidR="00B3177C" w:rsidRPr="00A96AAC" w:rsidTr="00256006">
        <w:tc>
          <w:tcPr>
            <w:tcW w:w="5812" w:type="dxa"/>
            <w:shd w:val="clear" w:color="auto" w:fill="auto"/>
          </w:tcPr>
          <w:p w:rsidR="00B3177C" w:rsidRPr="00A96AAC" w:rsidRDefault="00B3177C" w:rsidP="00405CF6">
            <w:pPr>
              <w:jc w:val="both"/>
              <w:rPr>
                <w:lang w:val="uk-UA"/>
              </w:rPr>
            </w:pPr>
          </w:p>
        </w:tc>
        <w:tc>
          <w:tcPr>
            <w:tcW w:w="2126" w:type="dxa"/>
            <w:shd w:val="clear" w:color="auto" w:fill="auto"/>
          </w:tcPr>
          <w:p w:rsidR="00B3177C" w:rsidRPr="00A96AAC" w:rsidRDefault="00B3177C" w:rsidP="00405CF6">
            <w:pPr>
              <w:jc w:val="center"/>
              <w:rPr>
                <w:lang w:val="uk-UA"/>
              </w:rPr>
            </w:pPr>
          </w:p>
        </w:tc>
        <w:tc>
          <w:tcPr>
            <w:tcW w:w="2092" w:type="dxa"/>
            <w:shd w:val="clear" w:color="auto" w:fill="auto"/>
          </w:tcPr>
          <w:p w:rsidR="00B3177C" w:rsidRPr="00A96AAC" w:rsidRDefault="00B3177C" w:rsidP="00405CF6">
            <w:pPr>
              <w:jc w:val="center"/>
              <w:rPr>
                <w:lang w:val="uk-UA"/>
              </w:rPr>
            </w:pPr>
          </w:p>
        </w:tc>
      </w:tr>
    </w:tbl>
    <w:p w:rsidR="007744D4" w:rsidRPr="00DD57A1" w:rsidRDefault="007744D4" w:rsidP="00C429BC">
      <w:pPr>
        <w:ind w:firstLine="567"/>
        <w:jc w:val="both"/>
        <w:rPr>
          <w:b/>
          <w:lang w:val="uk-UA"/>
        </w:rPr>
      </w:pPr>
    </w:p>
    <w:p w:rsidR="005E61E5" w:rsidRDefault="00256006" w:rsidP="00C429BC">
      <w:pPr>
        <w:ind w:firstLine="567"/>
        <w:jc w:val="both"/>
        <w:rPr>
          <w:b/>
          <w:lang w:val="uk-UA"/>
        </w:rPr>
      </w:pPr>
      <w:r>
        <w:rPr>
          <w:b/>
          <w:lang w:val="uk-UA"/>
        </w:rPr>
        <w:t xml:space="preserve">          </w:t>
      </w:r>
      <w:r w:rsidR="0020448A">
        <w:rPr>
          <w:b/>
          <w:lang w:val="uk-UA"/>
        </w:rPr>
        <w:t>6.1</w:t>
      </w:r>
      <w:r>
        <w:rPr>
          <w:b/>
          <w:lang w:val="uk-UA"/>
        </w:rPr>
        <w:t>2</w:t>
      </w:r>
      <w:r w:rsidR="0020448A">
        <w:rPr>
          <w:b/>
          <w:lang w:val="uk-UA"/>
        </w:rPr>
        <w:t xml:space="preserve">. </w:t>
      </w:r>
      <w:r w:rsidR="005E61E5" w:rsidRPr="00DD57A1">
        <w:rPr>
          <w:b/>
          <w:lang w:val="uk-UA"/>
        </w:rPr>
        <w:t>Витрати на збут</w:t>
      </w:r>
    </w:p>
    <w:p w:rsidR="00B023CB" w:rsidRPr="00B023CB" w:rsidRDefault="004C7826" w:rsidP="00B023CB">
      <w:pPr>
        <w:jc w:val="both"/>
        <w:rPr>
          <w:lang w:val="uk-UA"/>
        </w:rPr>
      </w:pPr>
      <w:r>
        <w:rPr>
          <w:lang w:val="uk-UA"/>
        </w:rPr>
        <w:tab/>
      </w:r>
      <w:r w:rsidR="00B023CB" w:rsidRPr="00B023CB">
        <w:rPr>
          <w:lang w:val="uk-UA"/>
        </w:rPr>
        <w:t xml:space="preserve">У складі </w:t>
      </w:r>
      <w:r>
        <w:rPr>
          <w:lang w:val="uk-UA"/>
        </w:rPr>
        <w:t>в</w:t>
      </w:r>
      <w:r w:rsidR="00B023CB" w:rsidRPr="00B023CB">
        <w:rPr>
          <w:lang w:val="uk-UA"/>
        </w:rPr>
        <w:t xml:space="preserve">итрат на збут відображаються витрати </w:t>
      </w:r>
      <w:r w:rsidR="00256006">
        <w:rPr>
          <w:lang w:val="uk-UA"/>
        </w:rPr>
        <w:t xml:space="preserve"> на рекламу, на передпродажну </w:t>
      </w:r>
      <w:r w:rsidR="00C07F8A">
        <w:rPr>
          <w:lang w:val="uk-UA"/>
        </w:rPr>
        <w:t>підготовку товару та і</w:t>
      </w:r>
      <w:r w:rsidR="00256006">
        <w:rPr>
          <w:lang w:val="uk-UA"/>
        </w:rPr>
        <w:t>нші витрати на збуд</w:t>
      </w:r>
      <w:r w:rsidR="00B023CB" w:rsidRPr="00B023CB">
        <w:rPr>
          <w:lang w:val="uk-UA"/>
        </w:rPr>
        <w:t xml:space="preserve"> </w:t>
      </w:r>
      <w:r w:rsidR="00256006">
        <w:rPr>
          <w:lang w:val="uk-UA"/>
        </w:rPr>
        <w:t xml:space="preserve">  та складают 53</w:t>
      </w:r>
      <w:r w:rsidR="00EE5611">
        <w:rPr>
          <w:lang w:val="uk-UA"/>
        </w:rPr>
        <w:t xml:space="preserve"> тис.г</w:t>
      </w:r>
      <w:r w:rsidR="00256006">
        <w:rPr>
          <w:lang w:val="uk-UA"/>
        </w:rPr>
        <w:t>рн. у 2021 р, та 65 тис.грн у 2020 р</w:t>
      </w:r>
    </w:p>
    <w:p w:rsidR="00256006" w:rsidRDefault="00256006" w:rsidP="00256006">
      <w:pPr>
        <w:ind w:left="567" w:firstLine="567"/>
        <w:jc w:val="both"/>
        <w:rPr>
          <w:b/>
          <w:lang w:val="uk-UA"/>
        </w:rPr>
      </w:pPr>
    </w:p>
    <w:p w:rsidR="005E61E5" w:rsidRDefault="00D625E1" w:rsidP="00D625E1">
      <w:pPr>
        <w:jc w:val="both"/>
        <w:rPr>
          <w:b/>
          <w:lang w:val="uk-UA"/>
        </w:rPr>
      </w:pPr>
      <w:r>
        <w:rPr>
          <w:b/>
          <w:lang w:val="uk-UA"/>
        </w:rPr>
        <w:t xml:space="preserve">         </w:t>
      </w:r>
      <w:r w:rsidR="0020448A">
        <w:rPr>
          <w:b/>
          <w:lang w:val="uk-UA"/>
        </w:rPr>
        <w:t>6.1</w:t>
      </w:r>
      <w:r w:rsidR="00256006">
        <w:rPr>
          <w:b/>
          <w:lang w:val="uk-UA"/>
        </w:rPr>
        <w:t>3</w:t>
      </w:r>
      <w:r w:rsidR="0020448A">
        <w:rPr>
          <w:b/>
          <w:lang w:val="uk-UA"/>
        </w:rPr>
        <w:t xml:space="preserve">. </w:t>
      </w:r>
      <w:r w:rsidR="009750CD">
        <w:rPr>
          <w:b/>
          <w:lang w:val="uk-UA"/>
        </w:rPr>
        <w:t xml:space="preserve">Інші </w:t>
      </w:r>
      <w:r w:rsidR="000A2B47">
        <w:rPr>
          <w:b/>
          <w:lang w:val="uk-UA"/>
        </w:rPr>
        <w:t>фінансові доходи</w:t>
      </w:r>
      <w:r w:rsidR="001032B6">
        <w:rPr>
          <w:b/>
          <w:lang w:val="uk-UA"/>
        </w:rPr>
        <w:t xml:space="preserve">, тис.грн.: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66"/>
        <w:gridCol w:w="2014"/>
        <w:gridCol w:w="1983"/>
      </w:tblGrid>
      <w:tr w:rsidR="008D6BC8" w:rsidRPr="00A96AAC" w:rsidTr="00256006">
        <w:tc>
          <w:tcPr>
            <w:tcW w:w="5812" w:type="dxa"/>
            <w:shd w:val="clear" w:color="auto" w:fill="auto"/>
          </w:tcPr>
          <w:p w:rsidR="008D6BC8" w:rsidRPr="00A96AAC" w:rsidRDefault="008D6BC8" w:rsidP="008D6BC8">
            <w:pPr>
              <w:jc w:val="both"/>
              <w:rPr>
                <w:lang w:val="uk-UA"/>
              </w:rPr>
            </w:pPr>
          </w:p>
        </w:tc>
        <w:tc>
          <w:tcPr>
            <w:tcW w:w="2126" w:type="dxa"/>
            <w:shd w:val="clear" w:color="auto" w:fill="auto"/>
          </w:tcPr>
          <w:p w:rsidR="008D6BC8" w:rsidRPr="00A96AAC" w:rsidRDefault="008D6BC8" w:rsidP="008D6BC8">
            <w:pPr>
              <w:jc w:val="center"/>
              <w:rPr>
                <w:lang w:val="uk-UA"/>
              </w:rPr>
            </w:pPr>
            <w:r w:rsidRPr="00A96AAC">
              <w:rPr>
                <w:lang w:val="uk-UA"/>
              </w:rPr>
              <w:t>202</w:t>
            </w:r>
            <w:r>
              <w:rPr>
                <w:lang w:val="uk-UA"/>
              </w:rPr>
              <w:t>1</w:t>
            </w:r>
            <w:r w:rsidRPr="00A96AAC">
              <w:rPr>
                <w:lang w:val="uk-UA"/>
              </w:rPr>
              <w:t xml:space="preserve"> р.</w:t>
            </w:r>
          </w:p>
        </w:tc>
        <w:tc>
          <w:tcPr>
            <w:tcW w:w="2092" w:type="dxa"/>
            <w:shd w:val="clear" w:color="auto" w:fill="auto"/>
          </w:tcPr>
          <w:p w:rsidR="008D6BC8" w:rsidRPr="00A96AAC" w:rsidRDefault="008D6BC8" w:rsidP="008D6BC8">
            <w:pPr>
              <w:jc w:val="center"/>
              <w:rPr>
                <w:lang w:val="uk-UA"/>
              </w:rPr>
            </w:pPr>
            <w:r w:rsidRPr="0080213D">
              <w:t>2020 р.</w:t>
            </w:r>
          </w:p>
        </w:tc>
      </w:tr>
      <w:tr w:rsidR="008D6BC8" w:rsidRPr="00A96AAC" w:rsidTr="00256006">
        <w:tc>
          <w:tcPr>
            <w:tcW w:w="5812" w:type="dxa"/>
            <w:shd w:val="clear" w:color="auto" w:fill="auto"/>
          </w:tcPr>
          <w:p w:rsidR="008D6BC8" w:rsidRPr="00A96AAC" w:rsidRDefault="008D6BC8" w:rsidP="00567FD5">
            <w:pPr>
              <w:rPr>
                <w:lang w:val="uk-UA"/>
              </w:rPr>
            </w:pPr>
            <w:r w:rsidRPr="00A96AAC">
              <w:rPr>
                <w:lang w:val="uk-UA"/>
              </w:rPr>
              <w:t xml:space="preserve">Нараховані відсотки </w:t>
            </w:r>
            <w:r w:rsidR="00256006">
              <w:rPr>
                <w:lang w:val="uk-UA"/>
              </w:rPr>
              <w:t>банком по залишку на рахунку</w:t>
            </w:r>
          </w:p>
        </w:tc>
        <w:tc>
          <w:tcPr>
            <w:tcW w:w="2126" w:type="dxa"/>
            <w:shd w:val="clear" w:color="auto" w:fill="auto"/>
            <w:vAlign w:val="center"/>
          </w:tcPr>
          <w:p w:rsidR="008D6BC8" w:rsidRPr="00A96AAC" w:rsidRDefault="00256006" w:rsidP="008D6BC8">
            <w:pPr>
              <w:jc w:val="center"/>
              <w:rPr>
                <w:lang w:val="uk-UA"/>
              </w:rPr>
            </w:pPr>
            <w:r>
              <w:rPr>
                <w:lang w:val="uk-UA"/>
              </w:rPr>
              <w:t>2</w:t>
            </w:r>
          </w:p>
        </w:tc>
        <w:tc>
          <w:tcPr>
            <w:tcW w:w="2092" w:type="dxa"/>
            <w:shd w:val="clear" w:color="auto" w:fill="auto"/>
            <w:vAlign w:val="center"/>
          </w:tcPr>
          <w:p w:rsidR="008D6BC8" w:rsidRPr="00A96AAC" w:rsidRDefault="008D6BC8" w:rsidP="008D6BC8">
            <w:pPr>
              <w:jc w:val="center"/>
              <w:rPr>
                <w:lang w:val="uk-UA"/>
              </w:rPr>
            </w:pPr>
          </w:p>
        </w:tc>
      </w:tr>
    </w:tbl>
    <w:p w:rsidR="000A2B47" w:rsidRDefault="000A2B47" w:rsidP="00256006">
      <w:pPr>
        <w:ind w:left="567"/>
        <w:jc w:val="both"/>
        <w:rPr>
          <w:b/>
          <w:lang w:val="uk-UA"/>
        </w:rPr>
      </w:pPr>
    </w:p>
    <w:p w:rsidR="00E704D3" w:rsidRDefault="00D625E1" w:rsidP="000A2B47">
      <w:pPr>
        <w:jc w:val="both"/>
        <w:rPr>
          <w:b/>
          <w:lang w:val="uk-UA"/>
        </w:rPr>
      </w:pPr>
      <w:r>
        <w:rPr>
          <w:b/>
          <w:lang w:val="uk-UA"/>
        </w:rPr>
        <w:t xml:space="preserve"> </w:t>
      </w:r>
    </w:p>
    <w:p w:rsidR="0078197E" w:rsidRDefault="0078197E" w:rsidP="000A2B47">
      <w:pPr>
        <w:jc w:val="both"/>
        <w:rPr>
          <w:b/>
          <w:lang w:val="uk-UA"/>
        </w:rPr>
      </w:pPr>
      <w:r>
        <w:rPr>
          <w:b/>
          <w:lang w:val="uk-UA"/>
        </w:rPr>
        <w:tab/>
        <w:t>6.1</w:t>
      </w:r>
      <w:r w:rsidR="00D625E1">
        <w:rPr>
          <w:b/>
          <w:lang w:val="uk-UA"/>
        </w:rPr>
        <w:t>4</w:t>
      </w:r>
      <w:r>
        <w:rPr>
          <w:b/>
          <w:lang w:val="uk-UA"/>
        </w:rPr>
        <w:t>. Фінансові витрати, тис.грн.:</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12"/>
        <w:gridCol w:w="2126"/>
        <w:gridCol w:w="2092"/>
      </w:tblGrid>
      <w:tr w:rsidR="0078197E" w:rsidRPr="00A96AAC" w:rsidTr="00A96AAC">
        <w:tc>
          <w:tcPr>
            <w:tcW w:w="5812" w:type="dxa"/>
            <w:shd w:val="clear" w:color="auto" w:fill="auto"/>
          </w:tcPr>
          <w:p w:rsidR="0078197E" w:rsidRPr="00A96AAC" w:rsidRDefault="0078197E" w:rsidP="00A96AAC">
            <w:pPr>
              <w:jc w:val="both"/>
              <w:rPr>
                <w:lang w:val="uk-UA"/>
              </w:rPr>
            </w:pPr>
          </w:p>
        </w:tc>
        <w:tc>
          <w:tcPr>
            <w:tcW w:w="2126" w:type="dxa"/>
            <w:shd w:val="clear" w:color="auto" w:fill="auto"/>
          </w:tcPr>
          <w:p w:rsidR="0078197E" w:rsidRPr="00A96AAC" w:rsidRDefault="0078197E" w:rsidP="00A96AAC">
            <w:pPr>
              <w:jc w:val="center"/>
              <w:rPr>
                <w:lang w:val="uk-UA"/>
              </w:rPr>
            </w:pPr>
            <w:r w:rsidRPr="00A96AAC">
              <w:rPr>
                <w:lang w:val="uk-UA"/>
              </w:rPr>
              <w:t>202</w:t>
            </w:r>
            <w:r w:rsidR="00DC406E">
              <w:rPr>
                <w:lang w:val="uk-UA"/>
              </w:rPr>
              <w:t>1</w:t>
            </w:r>
            <w:r w:rsidRPr="00A96AAC">
              <w:rPr>
                <w:lang w:val="uk-UA"/>
              </w:rPr>
              <w:t xml:space="preserve"> р.</w:t>
            </w:r>
          </w:p>
        </w:tc>
        <w:tc>
          <w:tcPr>
            <w:tcW w:w="2092" w:type="dxa"/>
            <w:shd w:val="clear" w:color="auto" w:fill="auto"/>
          </w:tcPr>
          <w:p w:rsidR="0078197E" w:rsidRPr="00A96AAC" w:rsidRDefault="0078197E" w:rsidP="00A96AAC">
            <w:pPr>
              <w:jc w:val="center"/>
              <w:rPr>
                <w:lang w:val="uk-UA"/>
              </w:rPr>
            </w:pPr>
            <w:r w:rsidRPr="00A96AAC">
              <w:rPr>
                <w:lang w:val="uk-UA"/>
              </w:rPr>
              <w:t>20</w:t>
            </w:r>
            <w:r w:rsidR="00DC406E">
              <w:rPr>
                <w:lang w:val="uk-UA"/>
              </w:rPr>
              <w:t>20</w:t>
            </w:r>
            <w:r w:rsidRPr="00A96AAC">
              <w:rPr>
                <w:lang w:val="uk-UA"/>
              </w:rPr>
              <w:t xml:space="preserve"> р.</w:t>
            </w:r>
          </w:p>
        </w:tc>
      </w:tr>
      <w:tr w:rsidR="0078197E" w:rsidRPr="00A96AAC" w:rsidTr="00A96AAC">
        <w:tc>
          <w:tcPr>
            <w:tcW w:w="5812" w:type="dxa"/>
            <w:shd w:val="clear" w:color="auto" w:fill="auto"/>
          </w:tcPr>
          <w:p w:rsidR="0078197E" w:rsidRPr="00A96AAC" w:rsidRDefault="0078197E" w:rsidP="00A96AAC">
            <w:pPr>
              <w:rPr>
                <w:lang w:val="uk-UA"/>
              </w:rPr>
            </w:pPr>
            <w:r w:rsidRPr="00A96AAC">
              <w:rPr>
                <w:lang w:val="uk-UA"/>
              </w:rPr>
              <w:t xml:space="preserve">Відсотки за </w:t>
            </w:r>
            <w:r w:rsidR="00256006">
              <w:rPr>
                <w:lang w:val="uk-UA"/>
              </w:rPr>
              <w:t xml:space="preserve"> овердрафт по банківському рахунку</w:t>
            </w:r>
          </w:p>
        </w:tc>
        <w:tc>
          <w:tcPr>
            <w:tcW w:w="2126" w:type="dxa"/>
            <w:shd w:val="clear" w:color="auto" w:fill="auto"/>
            <w:vAlign w:val="center"/>
          </w:tcPr>
          <w:p w:rsidR="0078197E" w:rsidRPr="00A96AAC" w:rsidRDefault="00256006" w:rsidP="00A96AAC">
            <w:pPr>
              <w:jc w:val="center"/>
              <w:rPr>
                <w:lang w:val="uk-UA"/>
              </w:rPr>
            </w:pPr>
            <w:r>
              <w:rPr>
                <w:lang w:val="uk-UA"/>
              </w:rPr>
              <w:t>4</w:t>
            </w:r>
          </w:p>
        </w:tc>
        <w:tc>
          <w:tcPr>
            <w:tcW w:w="2092" w:type="dxa"/>
            <w:shd w:val="clear" w:color="auto" w:fill="auto"/>
            <w:vAlign w:val="center"/>
          </w:tcPr>
          <w:p w:rsidR="0078197E" w:rsidRPr="00A96AAC" w:rsidRDefault="00256006" w:rsidP="00A96AAC">
            <w:pPr>
              <w:jc w:val="center"/>
              <w:rPr>
                <w:lang w:val="uk-UA"/>
              </w:rPr>
            </w:pPr>
            <w:r>
              <w:rPr>
                <w:lang w:val="uk-UA"/>
              </w:rPr>
              <w:t>2</w:t>
            </w:r>
          </w:p>
        </w:tc>
      </w:tr>
    </w:tbl>
    <w:p w:rsidR="001032B6" w:rsidRDefault="001032B6" w:rsidP="000A2B47">
      <w:pPr>
        <w:jc w:val="both"/>
        <w:rPr>
          <w:b/>
          <w:lang w:val="uk-UA"/>
        </w:rPr>
      </w:pPr>
    </w:p>
    <w:p w:rsidR="009C5F72" w:rsidRDefault="009C5F72" w:rsidP="00D625E1">
      <w:pPr>
        <w:jc w:val="both"/>
        <w:rPr>
          <w:b/>
          <w:lang w:val="uk-UA"/>
        </w:rPr>
      </w:pPr>
      <w:r>
        <w:rPr>
          <w:b/>
          <w:lang w:val="uk-UA"/>
        </w:rPr>
        <w:tab/>
        <w:t>6.1</w:t>
      </w:r>
      <w:r w:rsidR="00D625E1">
        <w:rPr>
          <w:b/>
          <w:lang w:val="uk-UA"/>
        </w:rPr>
        <w:t>5</w:t>
      </w:r>
      <w:r>
        <w:rPr>
          <w:b/>
          <w:lang w:val="uk-UA"/>
        </w:rPr>
        <w:t>. Податок на прибуток</w:t>
      </w:r>
      <w:r w:rsidR="00C07F8A">
        <w:rPr>
          <w:b/>
          <w:lang w:val="uk-UA"/>
        </w:rPr>
        <w:t xml:space="preserve"> -</w:t>
      </w:r>
      <w:r w:rsidR="00D625E1">
        <w:rPr>
          <w:b/>
          <w:lang w:val="uk-UA"/>
        </w:rPr>
        <w:t xml:space="preserve"> немає</w:t>
      </w:r>
      <w:r w:rsidR="00443837">
        <w:rPr>
          <w:b/>
          <w:lang w:val="uk-UA"/>
        </w:rPr>
        <w:t xml:space="preserve"> </w:t>
      </w:r>
      <w:r w:rsidR="00D625E1">
        <w:rPr>
          <w:b/>
          <w:lang w:val="uk-UA"/>
        </w:rPr>
        <w:t xml:space="preserve"> </w:t>
      </w:r>
    </w:p>
    <w:p w:rsidR="00985100" w:rsidRDefault="001E30F5" w:rsidP="001E30F5">
      <w:pPr>
        <w:jc w:val="both"/>
        <w:rPr>
          <w:b/>
          <w:lang w:val="uk-UA"/>
        </w:rPr>
      </w:pPr>
      <w:r>
        <w:rPr>
          <w:lang w:val="uk-UA"/>
        </w:rPr>
        <w:tab/>
      </w:r>
      <w:r w:rsidR="00D625E1">
        <w:rPr>
          <w:b/>
          <w:lang w:val="uk-UA"/>
        </w:rPr>
        <w:t>6.16</w:t>
      </w:r>
      <w:r w:rsidR="00985100">
        <w:rPr>
          <w:b/>
          <w:lang w:val="uk-UA"/>
        </w:rPr>
        <w:t xml:space="preserve">. </w:t>
      </w:r>
      <w:r w:rsidR="00AA31BA" w:rsidRPr="00AA31BA">
        <w:rPr>
          <w:b/>
          <w:lang w:val="uk-UA"/>
        </w:rPr>
        <w:t>Звіт про рух грошових коштів (за прямим методом)</w:t>
      </w:r>
    </w:p>
    <w:p w:rsidR="00A65BCC" w:rsidRDefault="001E30F5" w:rsidP="006E20FE">
      <w:pPr>
        <w:jc w:val="both"/>
        <w:rPr>
          <w:b/>
          <w:lang w:val="uk-UA"/>
        </w:rPr>
      </w:pPr>
      <w:r>
        <w:rPr>
          <w:lang w:val="uk-UA"/>
        </w:rPr>
        <w:tab/>
      </w:r>
      <w:r w:rsidRPr="001E30F5">
        <w:rPr>
          <w:lang w:val="uk-UA"/>
        </w:rPr>
        <w:t>Звіт грошових коштів (за прямим методом) за складено за вимогами МСБО 7 за</w:t>
      </w:r>
      <w:r>
        <w:rPr>
          <w:lang w:val="uk-UA"/>
        </w:rPr>
        <w:t xml:space="preserve"> </w:t>
      </w:r>
      <w:r w:rsidRPr="001E30F5">
        <w:rPr>
          <w:lang w:val="uk-UA"/>
        </w:rPr>
        <w:t>прямим методом, згідно з яким розкривається інформація про основні класи валових надходжень</w:t>
      </w:r>
      <w:r>
        <w:rPr>
          <w:lang w:val="uk-UA"/>
        </w:rPr>
        <w:t xml:space="preserve"> </w:t>
      </w:r>
      <w:r w:rsidRPr="001E30F5">
        <w:rPr>
          <w:lang w:val="uk-UA"/>
        </w:rPr>
        <w:t xml:space="preserve">грошових коштів чи валових виплат грошових коштів. У звіті відображений </w:t>
      </w:r>
      <w:r w:rsidR="00C07F8A">
        <w:rPr>
          <w:lang w:val="uk-UA"/>
        </w:rPr>
        <w:t xml:space="preserve"> основний </w:t>
      </w:r>
      <w:r w:rsidRPr="001E30F5">
        <w:rPr>
          <w:lang w:val="uk-UA"/>
        </w:rPr>
        <w:t>рух</w:t>
      </w:r>
      <w:r>
        <w:rPr>
          <w:lang w:val="uk-UA"/>
        </w:rPr>
        <w:t xml:space="preserve"> </w:t>
      </w:r>
      <w:r w:rsidRPr="001E30F5">
        <w:rPr>
          <w:lang w:val="uk-UA"/>
        </w:rPr>
        <w:t xml:space="preserve">грошових коштів від операційної діяльності Товариства. </w:t>
      </w:r>
      <w:r w:rsidRPr="001E30F5">
        <w:rPr>
          <w:lang w:val="uk-UA"/>
        </w:rPr>
        <w:cr/>
      </w:r>
    </w:p>
    <w:p w:rsidR="0014216F" w:rsidRPr="00D94FD3" w:rsidRDefault="0014216F" w:rsidP="00C368A5">
      <w:pPr>
        <w:ind w:firstLine="709"/>
        <w:rPr>
          <w:b/>
          <w:lang w:val="uk-UA"/>
        </w:rPr>
      </w:pPr>
      <w:r w:rsidRPr="00D94FD3">
        <w:rPr>
          <w:b/>
          <w:lang w:val="uk-UA"/>
        </w:rPr>
        <w:t>Інші надходження</w:t>
      </w:r>
      <w:r w:rsidR="001E30F5">
        <w:rPr>
          <w:b/>
          <w:lang w:val="uk-UA"/>
        </w:rPr>
        <w:t>, тис.грн.: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20"/>
        <w:gridCol w:w="2126"/>
        <w:gridCol w:w="2092"/>
      </w:tblGrid>
      <w:tr w:rsidR="00827B24" w:rsidRPr="00B9482E" w:rsidTr="008F6FD8">
        <w:tc>
          <w:tcPr>
            <w:tcW w:w="5920" w:type="dxa"/>
            <w:shd w:val="clear" w:color="auto" w:fill="auto"/>
          </w:tcPr>
          <w:p w:rsidR="00827B24" w:rsidRPr="00B9482E" w:rsidRDefault="00827B24" w:rsidP="00827B24">
            <w:pPr>
              <w:rPr>
                <w:b/>
                <w:lang w:val="uk-UA"/>
              </w:rPr>
            </w:pPr>
          </w:p>
        </w:tc>
        <w:tc>
          <w:tcPr>
            <w:tcW w:w="2126" w:type="dxa"/>
            <w:shd w:val="clear" w:color="auto" w:fill="auto"/>
          </w:tcPr>
          <w:p w:rsidR="00827B24" w:rsidRPr="00B9482E" w:rsidRDefault="00827B24" w:rsidP="00827B24">
            <w:pPr>
              <w:jc w:val="center"/>
              <w:rPr>
                <w:lang w:val="uk-UA"/>
              </w:rPr>
            </w:pPr>
            <w:r w:rsidRPr="00B9482E">
              <w:rPr>
                <w:lang w:val="uk-UA"/>
              </w:rPr>
              <w:t>202</w:t>
            </w:r>
            <w:r>
              <w:rPr>
                <w:lang w:val="uk-UA"/>
              </w:rPr>
              <w:t>1</w:t>
            </w:r>
            <w:r w:rsidRPr="00B9482E">
              <w:rPr>
                <w:lang w:val="uk-UA"/>
              </w:rPr>
              <w:t xml:space="preserve"> р.</w:t>
            </w:r>
          </w:p>
        </w:tc>
        <w:tc>
          <w:tcPr>
            <w:tcW w:w="2092" w:type="dxa"/>
            <w:shd w:val="clear" w:color="auto" w:fill="auto"/>
          </w:tcPr>
          <w:p w:rsidR="00827B24" w:rsidRPr="00B9482E" w:rsidRDefault="00827B24" w:rsidP="00827B24">
            <w:pPr>
              <w:jc w:val="center"/>
              <w:rPr>
                <w:lang w:val="uk-UA"/>
              </w:rPr>
            </w:pPr>
            <w:r w:rsidRPr="00BB2DFE">
              <w:t>2020 р.</w:t>
            </w:r>
          </w:p>
        </w:tc>
      </w:tr>
      <w:tr w:rsidR="00827B24" w:rsidRPr="00B9482E" w:rsidTr="008F6FD8">
        <w:tc>
          <w:tcPr>
            <w:tcW w:w="5920" w:type="dxa"/>
            <w:shd w:val="clear" w:color="auto" w:fill="auto"/>
          </w:tcPr>
          <w:p w:rsidR="00827B24" w:rsidRPr="00B9482E" w:rsidRDefault="00827B24" w:rsidP="00827B24">
            <w:pPr>
              <w:rPr>
                <w:lang w:val="uk-UA"/>
              </w:rPr>
            </w:pPr>
            <w:r w:rsidRPr="00B9482E">
              <w:rPr>
                <w:lang w:val="uk-UA"/>
              </w:rPr>
              <w:t>від реалізації заставного майна на умовах комісії</w:t>
            </w:r>
          </w:p>
        </w:tc>
        <w:tc>
          <w:tcPr>
            <w:tcW w:w="2126" w:type="dxa"/>
            <w:shd w:val="clear" w:color="auto" w:fill="auto"/>
          </w:tcPr>
          <w:p w:rsidR="00827B24" w:rsidRPr="00B9482E" w:rsidRDefault="00D625E1" w:rsidP="00827B24">
            <w:pPr>
              <w:jc w:val="center"/>
              <w:rPr>
                <w:lang w:val="uk-UA"/>
              </w:rPr>
            </w:pPr>
            <w:r>
              <w:rPr>
                <w:lang w:val="uk-UA"/>
              </w:rPr>
              <w:t>4841</w:t>
            </w:r>
          </w:p>
        </w:tc>
        <w:tc>
          <w:tcPr>
            <w:tcW w:w="2092" w:type="dxa"/>
            <w:shd w:val="clear" w:color="auto" w:fill="auto"/>
            <w:vAlign w:val="center"/>
          </w:tcPr>
          <w:p w:rsidR="00827B24" w:rsidRPr="00D625E1" w:rsidRDefault="00D625E1" w:rsidP="00827B24">
            <w:pPr>
              <w:jc w:val="center"/>
              <w:rPr>
                <w:lang w:val="uk-UA"/>
              </w:rPr>
            </w:pPr>
            <w:r>
              <w:rPr>
                <w:lang w:val="uk-UA"/>
              </w:rPr>
              <w:t>7771</w:t>
            </w:r>
          </w:p>
        </w:tc>
      </w:tr>
      <w:tr w:rsidR="00827B24" w:rsidRPr="00B9482E" w:rsidTr="008F6FD8">
        <w:tc>
          <w:tcPr>
            <w:tcW w:w="5920" w:type="dxa"/>
            <w:shd w:val="clear" w:color="auto" w:fill="auto"/>
          </w:tcPr>
          <w:p w:rsidR="00827B24" w:rsidRPr="00B9482E" w:rsidRDefault="00D625E1" w:rsidP="00827B24">
            <w:pPr>
              <w:rPr>
                <w:lang w:val="uk-UA"/>
              </w:rPr>
            </w:pPr>
            <w:r>
              <w:rPr>
                <w:lang w:val="uk-UA"/>
              </w:rPr>
              <w:t xml:space="preserve">Надходження   від повернення позики </w:t>
            </w:r>
          </w:p>
        </w:tc>
        <w:tc>
          <w:tcPr>
            <w:tcW w:w="2126" w:type="dxa"/>
            <w:shd w:val="clear" w:color="auto" w:fill="auto"/>
            <w:vAlign w:val="center"/>
          </w:tcPr>
          <w:p w:rsidR="00827B24" w:rsidRPr="00B9482E" w:rsidRDefault="00D625E1" w:rsidP="00827B24">
            <w:pPr>
              <w:jc w:val="center"/>
              <w:rPr>
                <w:lang w:val="uk-UA"/>
              </w:rPr>
            </w:pPr>
            <w:r>
              <w:rPr>
                <w:lang w:val="uk-UA"/>
              </w:rPr>
              <w:t>40339</w:t>
            </w:r>
          </w:p>
        </w:tc>
        <w:tc>
          <w:tcPr>
            <w:tcW w:w="2092" w:type="dxa"/>
            <w:shd w:val="clear" w:color="auto" w:fill="auto"/>
            <w:vAlign w:val="center"/>
          </w:tcPr>
          <w:p w:rsidR="00827B24" w:rsidRPr="00D625E1" w:rsidRDefault="00D625E1" w:rsidP="00827B24">
            <w:pPr>
              <w:jc w:val="center"/>
              <w:rPr>
                <w:lang w:val="uk-UA"/>
              </w:rPr>
            </w:pPr>
            <w:r>
              <w:rPr>
                <w:lang w:val="uk-UA"/>
              </w:rPr>
              <w:t>42293</w:t>
            </w:r>
          </w:p>
        </w:tc>
      </w:tr>
      <w:tr w:rsidR="008F6FD8" w:rsidRPr="00B9482E" w:rsidTr="008F6FD8">
        <w:tc>
          <w:tcPr>
            <w:tcW w:w="5920" w:type="dxa"/>
            <w:shd w:val="clear" w:color="auto" w:fill="auto"/>
          </w:tcPr>
          <w:p w:rsidR="008F6FD8" w:rsidRPr="00B9482E" w:rsidRDefault="008F6FD8" w:rsidP="00827B24">
            <w:pPr>
              <w:rPr>
                <w:lang w:val="uk-UA"/>
              </w:rPr>
            </w:pPr>
            <w:r>
              <w:rPr>
                <w:lang w:val="uk-UA"/>
              </w:rPr>
              <w:t>Аванси від покупців, фін допомога від засновников</w:t>
            </w:r>
          </w:p>
        </w:tc>
        <w:tc>
          <w:tcPr>
            <w:tcW w:w="2126" w:type="dxa"/>
            <w:shd w:val="clear" w:color="auto" w:fill="auto"/>
            <w:vAlign w:val="center"/>
          </w:tcPr>
          <w:p w:rsidR="008F6FD8" w:rsidRPr="00B9482E" w:rsidRDefault="008F6FD8" w:rsidP="00827B24">
            <w:pPr>
              <w:jc w:val="center"/>
              <w:rPr>
                <w:lang w:val="uk-UA"/>
              </w:rPr>
            </w:pPr>
            <w:r>
              <w:rPr>
                <w:lang w:val="uk-UA"/>
              </w:rPr>
              <w:t>5671</w:t>
            </w:r>
          </w:p>
        </w:tc>
        <w:tc>
          <w:tcPr>
            <w:tcW w:w="2092" w:type="dxa"/>
            <w:shd w:val="clear" w:color="auto" w:fill="auto"/>
            <w:vAlign w:val="center"/>
          </w:tcPr>
          <w:p w:rsidR="008F6FD8" w:rsidRPr="008F6FD8" w:rsidRDefault="008F6FD8" w:rsidP="00827B24">
            <w:pPr>
              <w:jc w:val="center"/>
              <w:rPr>
                <w:lang w:val="uk-UA"/>
              </w:rPr>
            </w:pPr>
            <w:r>
              <w:rPr>
                <w:lang w:val="uk-UA"/>
              </w:rPr>
              <w:t>627</w:t>
            </w:r>
          </w:p>
        </w:tc>
      </w:tr>
      <w:tr w:rsidR="008F6FD8" w:rsidRPr="00B9482E" w:rsidTr="008F6FD8">
        <w:tc>
          <w:tcPr>
            <w:tcW w:w="5920" w:type="dxa"/>
            <w:shd w:val="clear" w:color="auto" w:fill="auto"/>
          </w:tcPr>
          <w:p w:rsidR="008F6FD8" w:rsidRPr="00B9482E" w:rsidRDefault="008F6FD8" w:rsidP="00827B24">
            <w:pPr>
              <w:rPr>
                <w:lang w:val="uk-UA"/>
              </w:rPr>
            </w:pPr>
          </w:p>
        </w:tc>
        <w:tc>
          <w:tcPr>
            <w:tcW w:w="2126" w:type="dxa"/>
            <w:shd w:val="clear" w:color="auto" w:fill="auto"/>
            <w:vAlign w:val="center"/>
          </w:tcPr>
          <w:p w:rsidR="008F6FD8" w:rsidRPr="00B9482E" w:rsidRDefault="008F6FD8" w:rsidP="00827B24">
            <w:pPr>
              <w:jc w:val="center"/>
              <w:rPr>
                <w:lang w:val="uk-UA"/>
              </w:rPr>
            </w:pPr>
          </w:p>
        </w:tc>
        <w:tc>
          <w:tcPr>
            <w:tcW w:w="2092" w:type="dxa"/>
            <w:shd w:val="clear" w:color="auto" w:fill="auto"/>
            <w:vAlign w:val="center"/>
          </w:tcPr>
          <w:p w:rsidR="008F6FD8" w:rsidRPr="00B9482E" w:rsidRDefault="008F6FD8" w:rsidP="00827B24">
            <w:pPr>
              <w:jc w:val="center"/>
              <w:rPr>
                <w:lang w:val="uk-UA"/>
              </w:rPr>
            </w:pPr>
          </w:p>
        </w:tc>
      </w:tr>
      <w:tr w:rsidR="008F6FD8" w:rsidRPr="00B9482E" w:rsidTr="008F6FD8">
        <w:tc>
          <w:tcPr>
            <w:tcW w:w="5920" w:type="dxa"/>
            <w:shd w:val="clear" w:color="auto" w:fill="auto"/>
          </w:tcPr>
          <w:p w:rsidR="008F6FD8" w:rsidRPr="00B9482E" w:rsidRDefault="008F6FD8" w:rsidP="00827B24">
            <w:pPr>
              <w:rPr>
                <w:lang w:val="uk-UA"/>
              </w:rPr>
            </w:pPr>
          </w:p>
        </w:tc>
        <w:tc>
          <w:tcPr>
            <w:tcW w:w="2126" w:type="dxa"/>
            <w:shd w:val="clear" w:color="auto" w:fill="auto"/>
            <w:vAlign w:val="center"/>
          </w:tcPr>
          <w:p w:rsidR="008F6FD8" w:rsidRPr="00B9482E" w:rsidRDefault="008F6FD8" w:rsidP="00827B24">
            <w:pPr>
              <w:jc w:val="center"/>
              <w:rPr>
                <w:lang w:val="uk-UA"/>
              </w:rPr>
            </w:pPr>
          </w:p>
        </w:tc>
        <w:tc>
          <w:tcPr>
            <w:tcW w:w="2092" w:type="dxa"/>
            <w:shd w:val="clear" w:color="auto" w:fill="auto"/>
            <w:vAlign w:val="center"/>
          </w:tcPr>
          <w:p w:rsidR="008F6FD8" w:rsidRPr="008F6FD8" w:rsidRDefault="008F6FD8" w:rsidP="00827B24">
            <w:pPr>
              <w:jc w:val="center"/>
              <w:rPr>
                <w:lang w:val="uk-UA"/>
              </w:rPr>
            </w:pPr>
          </w:p>
        </w:tc>
      </w:tr>
    </w:tbl>
    <w:p w:rsidR="00C35783" w:rsidRDefault="00A65BCC" w:rsidP="00985100">
      <w:pPr>
        <w:ind w:firstLine="709"/>
        <w:jc w:val="both"/>
        <w:rPr>
          <w:b/>
          <w:lang w:val="uk-UA"/>
        </w:rPr>
      </w:pPr>
      <w:r>
        <w:rPr>
          <w:b/>
          <w:lang w:val="uk-UA"/>
        </w:rPr>
        <w:t>Інші витрачання</w:t>
      </w:r>
      <w:r w:rsidR="001E30F5">
        <w:rPr>
          <w:b/>
          <w:lang w:val="uk-UA"/>
        </w:rPr>
        <w:t>, тис.грн.: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20"/>
        <w:gridCol w:w="2126"/>
        <w:gridCol w:w="2092"/>
      </w:tblGrid>
      <w:tr w:rsidR="00DD45C7" w:rsidRPr="00B9482E" w:rsidTr="008F6FD8">
        <w:tc>
          <w:tcPr>
            <w:tcW w:w="5920" w:type="dxa"/>
            <w:shd w:val="clear" w:color="auto" w:fill="auto"/>
          </w:tcPr>
          <w:p w:rsidR="00DD45C7" w:rsidRPr="00B9482E" w:rsidRDefault="00DD45C7" w:rsidP="00DD45C7">
            <w:pPr>
              <w:jc w:val="both"/>
              <w:rPr>
                <w:b/>
                <w:lang w:val="uk-UA"/>
              </w:rPr>
            </w:pPr>
          </w:p>
        </w:tc>
        <w:tc>
          <w:tcPr>
            <w:tcW w:w="2126" w:type="dxa"/>
            <w:shd w:val="clear" w:color="auto" w:fill="auto"/>
          </w:tcPr>
          <w:p w:rsidR="00DD45C7" w:rsidRPr="0000219C" w:rsidRDefault="00DD45C7" w:rsidP="00DD45C7">
            <w:pPr>
              <w:jc w:val="center"/>
            </w:pPr>
            <w:r w:rsidRPr="0000219C">
              <w:t>202</w:t>
            </w:r>
            <w:r>
              <w:rPr>
                <w:lang w:val="uk-UA"/>
              </w:rPr>
              <w:t>1</w:t>
            </w:r>
            <w:r w:rsidRPr="0000219C">
              <w:t xml:space="preserve"> р.</w:t>
            </w:r>
          </w:p>
        </w:tc>
        <w:tc>
          <w:tcPr>
            <w:tcW w:w="2092" w:type="dxa"/>
            <w:shd w:val="clear" w:color="auto" w:fill="auto"/>
          </w:tcPr>
          <w:p w:rsidR="00DD45C7" w:rsidRPr="00B9482E" w:rsidRDefault="00DD45C7" w:rsidP="00DD45C7">
            <w:pPr>
              <w:jc w:val="center"/>
              <w:rPr>
                <w:lang w:val="uk-UA"/>
              </w:rPr>
            </w:pPr>
            <w:r w:rsidRPr="00FF3230">
              <w:t>2020 р.</w:t>
            </w:r>
          </w:p>
        </w:tc>
      </w:tr>
      <w:tr w:rsidR="00DD45C7" w:rsidRPr="00B9482E" w:rsidTr="008F6FD8">
        <w:tc>
          <w:tcPr>
            <w:tcW w:w="5920" w:type="dxa"/>
            <w:shd w:val="clear" w:color="auto" w:fill="auto"/>
          </w:tcPr>
          <w:p w:rsidR="00DD45C7" w:rsidRPr="00B9482E" w:rsidRDefault="008F6FD8" w:rsidP="00DD45C7">
            <w:pPr>
              <w:jc w:val="both"/>
              <w:rPr>
                <w:lang w:val="uk-UA"/>
              </w:rPr>
            </w:pPr>
            <w:r>
              <w:rPr>
                <w:lang w:val="uk-UA"/>
              </w:rPr>
              <w:t xml:space="preserve">Витрачання  на надання позики </w:t>
            </w:r>
          </w:p>
        </w:tc>
        <w:tc>
          <w:tcPr>
            <w:tcW w:w="2126" w:type="dxa"/>
            <w:shd w:val="clear" w:color="auto" w:fill="auto"/>
            <w:vAlign w:val="center"/>
          </w:tcPr>
          <w:p w:rsidR="00DD45C7" w:rsidRPr="00B9482E" w:rsidRDefault="008F6FD8" w:rsidP="00DD45C7">
            <w:pPr>
              <w:jc w:val="center"/>
              <w:rPr>
                <w:lang w:val="uk-UA"/>
              </w:rPr>
            </w:pPr>
            <w:r>
              <w:rPr>
                <w:lang w:val="uk-UA"/>
              </w:rPr>
              <w:t>43349</w:t>
            </w:r>
          </w:p>
        </w:tc>
        <w:tc>
          <w:tcPr>
            <w:tcW w:w="2092" w:type="dxa"/>
            <w:shd w:val="clear" w:color="auto" w:fill="auto"/>
            <w:vAlign w:val="center"/>
          </w:tcPr>
          <w:p w:rsidR="00DD45C7" w:rsidRPr="008F6FD8" w:rsidRDefault="008F6FD8" w:rsidP="00DD45C7">
            <w:pPr>
              <w:jc w:val="center"/>
              <w:rPr>
                <w:lang w:val="uk-UA"/>
              </w:rPr>
            </w:pPr>
            <w:r>
              <w:rPr>
                <w:lang w:val="uk-UA"/>
              </w:rPr>
              <w:t>44176</w:t>
            </w:r>
          </w:p>
        </w:tc>
      </w:tr>
      <w:tr w:rsidR="00DD45C7" w:rsidRPr="00B9482E" w:rsidTr="008F6FD8">
        <w:tc>
          <w:tcPr>
            <w:tcW w:w="5920" w:type="dxa"/>
            <w:shd w:val="clear" w:color="auto" w:fill="auto"/>
          </w:tcPr>
          <w:p w:rsidR="00DD45C7" w:rsidRPr="00B9482E" w:rsidRDefault="008F6FD8" w:rsidP="00DD45C7">
            <w:pPr>
              <w:jc w:val="both"/>
              <w:rPr>
                <w:lang w:val="uk-UA"/>
              </w:rPr>
            </w:pPr>
            <w:r>
              <w:rPr>
                <w:lang w:val="uk-UA"/>
              </w:rPr>
              <w:t>За страховими контрактами</w:t>
            </w:r>
          </w:p>
        </w:tc>
        <w:tc>
          <w:tcPr>
            <w:tcW w:w="2126" w:type="dxa"/>
            <w:shd w:val="clear" w:color="auto" w:fill="auto"/>
            <w:vAlign w:val="center"/>
          </w:tcPr>
          <w:p w:rsidR="00DD45C7" w:rsidRPr="00B9482E" w:rsidRDefault="008F6FD8" w:rsidP="00DD45C7">
            <w:pPr>
              <w:jc w:val="center"/>
              <w:rPr>
                <w:lang w:val="uk-UA"/>
              </w:rPr>
            </w:pPr>
            <w:r>
              <w:rPr>
                <w:lang w:val="uk-UA"/>
              </w:rPr>
              <w:t>2665</w:t>
            </w:r>
          </w:p>
        </w:tc>
        <w:tc>
          <w:tcPr>
            <w:tcW w:w="2092" w:type="dxa"/>
            <w:shd w:val="clear" w:color="auto" w:fill="auto"/>
            <w:vAlign w:val="center"/>
          </w:tcPr>
          <w:p w:rsidR="00DD45C7" w:rsidRPr="008F6FD8" w:rsidRDefault="008F6FD8" w:rsidP="00DD45C7">
            <w:pPr>
              <w:jc w:val="center"/>
              <w:rPr>
                <w:lang w:val="uk-UA"/>
              </w:rPr>
            </w:pPr>
            <w:r>
              <w:rPr>
                <w:lang w:val="uk-UA"/>
              </w:rPr>
              <w:t>1966</w:t>
            </w:r>
          </w:p>
        </w:tc>
      </w:tr>
      <w:tr w:rsidR="00BB3C3A" w:rsidRPr="00B9482E" w:rsidTr="008F6FD8">
        <w:tc>
          <w:tcPr>
            <w:tcW w:w="5920" w:type="dxa"/>
            <w:shd w:val="clear" w:color="auto" w:fill="auto"/>
          </w:tcPr>
          <w:p w:rsidR="00BB3C3A" w:rsidRPr="00B9482E" w:rsidRDefault="008F6FD8" w:rsidP="00526994">
            <w:pPr>
              <w:rPr>
                <w:lang w:val="uk-UA"/>
              </w:rPr>
            </w:pPr>
            <w:r>
              <w:rPr>
                <w:lang w:val="uk-UA"/>
              </w:rPr>
              <w:t>Оплата товарів, послуг</w:t>
            </w:r>
          </w:p>
        </w:tc>
        <w:tc>
          <w:tcPr>
            <w:tcW w:w="2126" w:type="dxa"/>
            <w:shd w:val="clear" w:color="auto" w:fill="auto"/>
            <w:vAlign w:val="center"/>
          </w:tcPr>
          <w:p w:rsidR="00BB3C3A" w:rsidRPr="00B9482E" w:rsidRDefault="008F6FD8" w:rsidP="00526994">
            <w:pPr>
              <w:jc w:val="center"/>
              <w:rPr>
                <w:lang w:val="uk-UA"/>
              </w:rPr>
            </w:pPr>
            <w:r>
              <w:rPr>
                <w:lang w:val="uk-UA"/>
              </w:rPr>
              <w:t>2633</w:t>
            </w:r>
          </w:p>
        </w:tc>
        <w:tc>
          <w:tcPr>
            <w:tcW w:w="2092" w:type="dxa"/>
            <w:shd w:val="clear" w:color="auto" w:fill="auto"/>
            <w:vAlign w:val="center"/>
          </w:tcPr>
          <w:p w:rsidR="00BB3C3A" w:rsidRPr="00BB3C3A" w:rsidRDefault="00BB3C3A" w:rsidP="00526994">
            <w:pPr>
              <w:jc w:val="center"/>
              <w:rPr>
                <w:lang w:val="uk-UA"/>
              </w:rPr>
            </w:pPr>
            <w:r>
              <w:rPr>
                <w:lang w:val="uk-UA"/>
              </w:rPr>
              <w:t>0</w:t>
            </w:r>
          </w:p>
        </w:tc>
      </w:tr>
      <w:tr w:rsidR="00DD45C7" w:rsidRPr="00B9482E" w:rsidTr="008F6FD8">
        <w:tc>
          <w:tcPr>
            <w:tcW w:w="5920" w:type="dxa"/>
            <w:shd w:val="clear" w:color="auto" w:fill="auto"/>
          </w:tcPr>
          <w:p w:rsidR="00DD45C7" w:rsidRPr="00B9482E" w:rsidRDefault="008F6FD8" w:rsidP="008F6FD8">
            <w:pPr>
              <w:jc w:val="both"/>
              <w:rPr>
                <w:lang w:val="uk-UA"/>
              </w:rPr>
            </w:pPr>
            <w:r>
              <w:rPr>
                <w:lang w:val="uk-UA"/>
              </w:rPr>
              <w:t>Оплата авансів</w:t>
            </w:r>
          </w:p>
        </w:tc>
        <w:tc>
          <w:tcPr>
            <w:tcW w:w="2126" w:type="dxa"/>
            <w:shd w:val="clear" w:color="auto" w:fill="auto"/>
            <w:vAlign w:val="center"/>
          </w:tcPr>
          <w:p w:rsidR="00DD45C7" w:rsidRPr="00B9482E" w:rsidRDefault="008F6FD8" w:rsidP="00DD45C7">
            <w:pPr>
              <w:jc w:val="center"/>
              <w:rPr>
                <w:lang w:val="uk-UA"/>
              </w:rPr>
            </w:pPr>
            <w:r>
              <w:rPr>
                <w:lang w:val="uk-UA"/>
              </w:rPr>
              <w:t>235</w:t>
            </w:r>
          </w:p>
        </w:tc>
        <w:tc>
          <w:tcPr>
            <w:tcW w:w="2092" w:type="dxa"/>
            <w:shd w:val="clear" w:color="auto" w:fill="auto"/>
            <w:vAlign w:val="center"/>
          </w:tcPr>
          <w:p w:rsidR="00DD45C7" w:rsidRPr="008F6FD8" w:rsidRDefault="008F6FD8" w:rsidP="00DD45C7">
            <w:pPr>
              <w:jc w:val="center"/>
              <w:rPr>
                <w:lang w:val="uk-UA"/>
              </w:rPr>
            </w:pPr>
            <w:r>
              <w:rPr>
                <w:lang w:val="uk-UA"/>
              </w:rPr>
              <w:t>328</w:t>
            </w:r>
          </w:p>
        </w:tc>
      </w:tr>
      <w:tr w:rsidR="008F6FD8" w:rsidRPr="00B9482E" w:rsidTr="008F6FD8">
        <w:tc>
          <w:tcPr>
            <w:tcW w:w="5920" w:type="dxa"/>
            <w:shd w:val="clear" w:color="auto" w:fill="auto"/>
          </w:tcPr>
          <w:p w:rsidR="008F6FD8" w:rsidRPr="00B9482E" w:rsidRDefault="008F6FD8" w:rsidP="00DD45C7">
            <w:pPr>
              <w:jc w:val="both"/>
              <w:rPr>
                <w:lang w:val="uk-UA"/>
              </w:rPr>
            </w:pPr>
          </w:p>
        </w:tc>
        <w:tc>
          <w:tcPr>
            <w:tcW w:w="2126" w:type="dxa"/>
            <w:shd w:val="clear" w:color="auto" w:fill="auto"/>
            <w:vAlign w:val="center"/>
          </w:tcPr>
          <w:p w:rsidR="008F6FD8" w:rsidRPr="00B9482E" w:rsidRDefault="008F6FD8" w:rsidP="00DD45C7">
            <w:pPr>
              <w:jc w:val="center"/>
              <w:rPr>
                <w:lang w:val="uk-UA"/>
              </w:rPr>
            </w:pPr>
          </w:p>
        </w:tc>
        <w:tc>
          <w:tcPr>
            <w:tcW w:w="2092" w:type="dxa"/>
            <w:shd w:val="clear" w:color="auto" w:fill="auto"/>
            <w:vAlign w:val="center"/>
          </w:tcPr>
          <w:p w:rsidR="008F6FD8" w:rsidRPr="00B9482E" w:rsidRDefault="008F6FD8" w:rsidP="00DD45C7">
            <w:pPr>
              <w:jc w:val="center"/>
              <w:rPr>
                <w:lang w:val="uk-UA"/>
              </w:rPr>
            </w:pPr>
          </w:p>
        </w:tc>
      </w:tr>
    </w:tbl>
    <w:p w:rsidR="00A65BCC" w:rsidRDefault="00A65BCC" w:rsidP="00A65BCC">
      <w:pPr>
        <w:jc w:val="both"/>
        <w:rPr>
          <w:b/>
          <w:lang w:val="uk-UA"/>
        </w:rPr>
      </w:pPr>
    </w:p>
    <w:p w:rsidR="009750CD" w:rsidRPr="009750CD" w:rsidRDefault="009750CD" w:rsidP="009750CD">
      <w:pPr>
        <w:pStyle w:val="ad"/>
        <w:spacing w:before="1" w:line="250" w:lineRule="exact"/>
        <w:ind w:left="567" w:firstLine="0"/>
        <w:rPr>
          <w:b/>
          <w:sz w:val="24"/>
          <w:szCs w:val="24"/>
          <w:lang w:eastAsia="ru-RU"/>
        </w:rPr>
      </w:pPr>
      <w:r w:rsidRPr="00F276F0">
        <w:rPr>
          <w:b/>
          <w:sz w:val="24"/>
          <w:szCs w:val="24"/>
          <w:lang w:eastAsia="ru-RU"/>
        </w:rPr>
        <w:t>7.</w:t>
      </w:r>
      <w:r w:rsidRPr="009750CD">
        <w:rPr>
          <w:b/>
          <w:sz w:val="24"/>
          <w:szCs w:val="24"/>
          <w:lang w:eastAsia="ru-RU"/>
        </w:rPr>
        <w:t xml:space="preserve"> Управління капіталом Товариства</w:t>
      </w:r>
    </w:p>
    <w:p w:rsidR="009750CD" w:rsidRPr="00C07F8A" w:rsidRDefault="009750CD" w:rsidP="00C07F8A">
      <w:pPr>
        <w:ind w:firstLine="567"/>
        <w:jc w:val="both"/>
        <w:rPr>
          <w:lang w:val="uk-UA"/>
        </w:rPr>
      </w:pPr>
      <w:r w:rsidRPr="009750CD">
        <w:rPr>
          <w:lang w:val="uk-UA"/>
        </w:rPr>
        <w:t xml:space="preserve">Товариство розглядає управління капіталом як систему принципів та методів розробки і реалізації управлінських рішень, пов’язаних з оптимальним формуванням капіталу з різноманітних джерел, а також забезпеченням ефективного його використання у діяльності Товариства. </w:t>
      </w:r>
      <w:r>
        <w:t>Ключові питання та поточні рішення, що впливають на обсяг і структуру капіталу, а також джерела його формування, розглядаються управлінським персоналом. Механізм управління капіталом передбачає чітку постановку цілей і завдань управління капіталом, а також контроль за їх дотриманням у звітному періоді; удосконалення методики визначення й аналізу використання усіх видів капіталу; розроблення загальної стратегії управління капіталом. Управлінський персонал здійснює огляд структури капіталу на кінець кожного звітного періоду. При тому проводиться аналіз вартості капіталу, його структура та можливі ризики. Товариство може здійснювати регулювання капіталу шляхом залучення додаткового капіталу та зміни структури капіталу. Система управління капіталом може коригуватись з урахуванням змін в операційному середовищі, тенденціях ринку або стратегії розвитку. Управління капіталом Товариства спрямовано на досягнення наступних цілей: дотримання вимог до капіталу, встановлених регулятором, і забезпечення здатності Товариства функціонувати в якості безперервного діючого підприємства. Товариство вважає, що загальна сума капіталу, управління яким здійснюється, відображено в баланс</w:t>
      </w:r>
    </w:p>
    <w:p w:rsidR="00C07F8A" w:rsidRDefault="00C07F8A" w:rsidP="00C429BC">
      <w:pPr>
        <w:ind w:firstLine="567"/>
        <w:jc w:val="both"/>
        <w:rPr>
          <w:b/>
          <w:lang w:val="uk-UA"/>
        </w:rPr>
      </w:pPr>
    </w:p>
    <w:p w:rsidR="009750CD" w:rsidRDefault="009750CD" w:rsidP="00C429BC">
      <w:pPr>
        <w:ind w:firstLine="567"/>
        <w:jc w:val="both"/>
        <w:rPr>
          <w:b/>
          <w:lang w:val="uk-UA"/>
        </w:rPr>
      </w:pPr>
      <w:r w:rsidRPr="009750CD">
        <w:rPr>
          <w:b/>
          <w:lang w:val="uk-UA"/>
        </w:rPr>
        <w:t xml:space="preserve">8. </w:t>
      </w:r>
      <w:r w:rsidRPr="00E430D2">
        <w:rPr>
          <w:b/>
          <w:lang w:val="uk-UA"/>
        </w:rPr>
        <w:t>Управління</w:t>
      </w:r>
      <w:r w:rsidRPr="00E430D2">
        <w:rPr>
          <w:b/>
          <w:spacing w:val="-1"/>
          <w:lang w:val="uk-UA"/>
        </w:rPr>
        <w:t xml:space="preserve"> </w:t>
      </w:r>
      <w:r w:rsidRPr="00E430D2">
        <w:rPr>
          <w:b/>
          <w:lang w:val="uk-UA"/>
        </w:rPr>
        <w:t>ризиками</w:t>
      </w:r>
    </w:p>
    <w:p w:rsidR="00C07F8A" w:rsidRPr="00C07F8A" w:rsidRDefault="009750CD" w:rsidP="00B360C9">
      <w:pPr>
        <w:ind w:firstLine="567"/>
        <w:jc w:val="both"/>
        <w:rPr>
          <w:lang w:val="uk-UA"/>
        </w:rPr>
      </w:pPr>
      <w:r w:rsidRPr="009750CD">
        <w:rPr>
          <w:lang w:val="uk-UA"/>
        </w:rPr>
        <w:t xml:space="preserve">Керівництво визнає, що діяльність Товариства пов’язана з ризиками і вартість чистих активів у нестабільному ринковому середовищі може суттєво змінитись унаслідок впливу суб’єктивних чинників та об’єктивних чинників, вірогідність і напрямок впливу яких заздалегідь точно передбачити неможливо. </w:t>
      </w:r>
      <w:r>
        <w:t xml:space="preserve">До таких ризиків віднесено кредитний ризик, ринковий ризик та ризик ліквідності. </w:t>
      </w:r>
      <w:r w:rsidR="00C07F8A" w:rsidRPr="00FB6615">
        <w:rPr>
          <w:lang w:val="uk-UA"/>
        </w:rPr>
        <w:t>Компанія  не вважає ці  ризики істотними, отже, не встановлює конкретні завдання і не розробляє політику  з управління цими ризиками.</w:t>
      </w:r>
    </w:p>
    <w:p w:rsidR="00477CA8" w:rsidRDefault="00477CA8" w:rsidP="00C429BC">
      <w:pPr>
        <w:ind w:firstLine="567"/>
        <w:jc w:val="both"/>
        <w:rPr>
          <w:b/>
          <w:lang w:val="uk-UA"/>
        </w:rPr>
      </w:pPr>
      <w:r w:rsidRPr="00477CA8">
        <w:rPr>
          <w:b/>
          <w:lang w:val="uk-UA"/>
        </w:rPr>
        <w:t>8.1. Кридитний ризик</w:t>
      </w:r>
    </w:p>
    <w:p w:rsidR="00B22AE4" w:rsidRPr="00B360C9" w:rsidRDefault="00C07F8A" w:rsidP="00B360C9">
      <w:pPr>
        <w:ind w:firstLine="567"/>
        <w:jc w:val="both"/>
        <w:rPr>
          <w:b/>
          <w:lang w:val="uk-UA"/>
        </w:rPr>
      </w:pPr>
      <w:r w:rsidRPr="00FB6615">
        <w:rPr>
          <w:lang w:val="uk-UA"/>
        </w:rPr>
        <w:t>Ломбард піддається кредитному ризику, який визначається, як  ризик того, що одна  сторона фінансового інструменту понесе збиток внаслідок невиконання іншою стороною  своїх зобов’язань. Основні статті, у зв’язку з яким у  Ломбарду виникає кредитний ризик - це грошові кошти. Максимальний рівень кредитного ризику , в цілому, відбивається  в балансової вартості фінансових і страхових активів у балансі</w:t>
      </w:r>
    </w:p>
    <w:p w:rsidR="00477CA8" w:rsidRDefault="00477CA8" w:rsidP="00C429BC">
      <w:pPr>
        <w:ind w:firstLine="567"/>
        <w:jc w:val="both"/>
        <w:rPr>
          <w:b/>
          <w:lang w:val="uk-UA"/>
        </w:rPr>
      </w:pPr>
      <w:r w:rsidRPr="00477CA8">
        <w:rPr>
          <w:b/>
          <w:lang w:val="uk-UA"/>
        </w:rPr>
        <w:t>8.2. Ринковий ризик</w:t>
      </w:r>
    </w:p>
    <w:p w:rsidR="00B22AE4" w:rsidRPr="00B360C9" w:rsidRDefault="00C07F8A" w:rsidP="00B360C9">
      <w:pPr>
        <w:ind w:firstLine="567"/>
        <w:jc w:val="both"/>
        <w:rPr>
          <w:lang w:val="uk-UA"/>
        </w:rPr>
      </w:pPr>
      <w:r w:rsidRPr="00FB6615">
        <w:rPr>
          <w:lang w:val="uk-UA"/>
        </w:rPr>
        <w:t>Ломбард  піддається ринковим ризикам, яки виникають  у зв’язку  с змінами  вартості золота  на світовому ринку.</w:t>
      </w:r>
    </w:p>
    <w:p w:rsidR="001A51BA" w:rsidRPr="001A51BA" w:rsidRDefault="001A51BA" w:rsidP="003D2730">
      <w:pPr>
        <w:ind w:firstLine="567"/>
        <w:jc w:val="both"/>
        <w:rPr>
          <w:b/>
          <w:lang w:val="uk-UA"/>
        </w:rPr>
      </w:pPr>
      <w:r w:rsidRPr="001A51BA">
        <w:rPr>
          <w:b/>
          <w:lang w:val="uk-UA"/>
        </w:rPr>
        <w:t>8.3. Ризик ліквідності</w:t>
      </w:r>
    </w:p>
    <w:p w:rsidR="00C07F8A" w:rsidRPr="00FB6615" w:rsidRDefault="00C07F8A" w:rsidP="00C07F8A">
      <w:pPr>
        <w:ind w:firstLine="567"/>
        <w:jc w:val="both"/>
        <w:rPr>
          <w:lang w:val="uk-UA"/>
        </w:rPr>
      </w:pPr>
      <w:r w:rsidRPr="00FB6615">
        <w:rPr>
          <w:lang w:val="uk-UA"/>
        </w:rPr>
        <w:t>Ризик ліквідності - це ризик того, що  Ломбард зіткнеться з труднощами при виконанні фінансових зобо</w:t>
      </w:r>
      <w:r>
        <w:rPr>
          <w:lang w:val="uk-UA"/>
        </w:rPr>
        <w:t>в’язань. Станом на 31 грудня 2021</w:t>
      </w:r>
      <w:r w:rsidRPr="00FB6615">
        <w:rPr>
          <w:lang w:val="uk-UA"/>
        </w:rPr>
        <w:t xml:space="preserve"> року всі фінансові зобов’язання  погашаються  за вимогою або протягом 1 місяця після закінчення звітного періоду. </w:t>
      </w:r>
    </w:p>
    <w:p w:rsidR="00D93AC4" w:rsidRPr="00D93AC4" w:rsidRDefault="00D93AC4" w:rsidP="00C07F8A">
      <w:pPr>
        <w:jc w:val="both"/>
        <w:rPr>
          <w:lang w:val="uk-UA"/>
        </w:rPr>
      </w:pPr>
    </w:p>
    <w:p w:rsidR="005E61E5" w:rsidRDefault="009750CD" w:rsidP="00C429BC">
      <w:pPr>
        <w:ind w:firstLine="567"/>
        <w:jc w:val="both"/>
        <w:rPr>
          <w:b/>
          <w:lang w:val="uk-UA"/>
        </w:rPr>
      </w:pPr>
      <w:r>
        <w:rPr>
          <w:b/>
          <w:lang w:val="uk-UA"/>
        </w:rPr>
        <w:t>9</w:t>
      </w:r>
      <w:r w:rsidR="00C429BC" w:rsidRPr="00DD57A1">
        <w:rPr>
          <w:b/>
          <w:lang w:val="uk-UA"/>
        </w:rPr>
        <w:t xml:space="preserve">. </w:t>
      </w:r>
      <w:r w:rsidR="005E61E5" w:rsidRPr="00DD57A1">
        <w:rPr>
          <w:b/>
          <w:lang w:val="uk-UA"/>
        </w:rPr>
        <w:t>Операції із пов’язаними сторонами</w:t>
      </w:r>
    </w:p>
    <w:p w:rsidR="006F1C74" w:rsidRPr="006F1C74" w:rsidRDefault="006F1C74" w:rsidP="00C429BC">
      <w:pPr>
        <w:ind w:firstLine="567"/>
        <w:jc w:val="both"/>
        <w:rPr>
          <w:lang w:val="uk-UA"/>
        </w:rPr>
      </w:pPr>
      <w:r w:rsidRPr="006F1C74">
        <w:rPr>
          <w:lang w:val="uk-UA"/>
        </w:rPr>
        <w:t>З ме</w:t>
      </w:r>
      <w:r>
        <w:rPr>
          <w:lang w:val="uk-UA"/>
        </w:rPr>
        <w:t>тою даної фінансової звітності, сторони вважаються пов’язаними, якщо одна з них має можливість контролювати або значно впливати на фінансові й операційні рішення іншої сторони, як визначено в МСБО 24 «</w:t>
      </w:r>
      <w:r w:rsidRPr="006F1C74">
        <w:rPr>
          <w:lang w:val="uk-UA"/>
        </w:rPr>
        <w:t>Розкриття інформації про зв’язані сторони</w:t>
      </w:r>
      <w:r>
        <w:rPr>
          <w:lang w:val="uk-UA"/>
        </w:rPr>
        <w:t>».</w:t>
      </w:r>
    </w:p>
    <w:p w:rsidR="005E61E5" w:rsidRPr="0025345D" w:rsidRDefault="005E61E5" w:rsidP="00C429BC">
      <w:pPr>
        <w:ind w:firstLine="567"/>
        <w:jc w:val="both"/>
        <w:rPr>
          <w:lang w:val="uk-UA"/>
        </w:rPr>
      </w:pPr>
      <w:r w:rsidRPr="0025345D">
        <w:rPr>
          <w:lang w:val="uk-UA"/>
        </w:rPr>
        <w:t>При аналізі кожного випадку відносин, що можуть являти собою відносини між пов’язаними сторонами, увага приділяється суті цих відносин, а не лише їх юридичній формі.</w:t>
      </w:r>
    </w:p>
    <w:p w:rsidR="005E61E5" w:rsidRPr="0025345D" w:rsidRDefault="005E61E5" w:rsidP="00C429BC">
      <w:pPr>
        <w:ind w:firstLine="567"/>
        <w:jc w:val="both"/>
        <w:rPr>
          <w:lang w:val="uk-UA"/>
        </w:rPr>
      </w:pPr>
      <w:r w:rsidRPr="0025345D">
        <w:rPr>
          <w:lang w:val="uk-UA"/>
        </w:rPr>
        <w:t>Інші операційні витрати за операціями з основним управлінським персоналом складаються з компенсації основному управлінському персоналу, що включає заробітну плату.</w:t>
      </w:r>
    </w:p>
    <w:p w:rsidR="005E61E5" w:rsidRPr="0025345D" w:rsidRDefault="005E61E5" w:rsidP="00C429BC">
      <w:pPr>
        <w:pStyle w:val="a8"/>
        <w:spacing w:after="0"/>
        <w:ind w:right="40" w:firstLine="567"/>
        <w:jc w:val="both"/>
        <w:rPr>
          <w:szCs w:val="24"/>
          <w:lang w:val="uk-UA"/>
        </w:rPr>
      </w:pPr>
      <w:r w:rsidRPr="0025345D">
        <w:rPr>
          <w:szCs w:val="24"/>
          <w:lang w:val="uk-UA"/>
        </w:rPr>
        <w:t xml:space="preserve">Операції з пов’язаними сторонами здійснювалися </w:t>
      </w:r>
      <w:r w:rsidR="00AC2014">
        <w:rPr>
          <w:szCs w:val="24"/>
          <w:lang w:val="uk-UA"/>
        </w:rPr>
        <w:t>Товариством</w:t>
      </w:r>
      <w:r w:rsidRPr="0025345D">
        <w:rPr>
          <w:szCs w:val="24"/>
          <w:lang w:val="uk-UA"/>
        </w:rPr>
        <w:t xml:space="preserve"> на загальних підставах. До таких операцій відносяться операції з засновниками (учасниками) та операції з представниками управлінського персоналу </w:t>
      </w:r>
      <w:r w:rsidR="003754BE" w:rsidRPr="0025345D">
        <w:rPr>
          <w:lang w:val="uk-UA"/>
        </w:rPr>
        <w:t>Компанії</w:t>
      </w:r>
      <w:r w:rsidRPr="0025345D">
        <w:rPr>
          <w:szCs w:val="24"/>
          <w:lang w:val="uk-UA"/>
        </w:rPr>
        <w:t>.</w:t>
      </w:r>
    </w:p>
    <w:p w:rsidR="00C652CC" w:rsidRDefault="00C652CC" w:rsidP="00C429BC">
      <w:pPr>
        <w:pStyle w:val="a8"/>
        <w:spacing w:after="0"/>
        <w:ind w:right="40" w:firstLine="567"/>
        <w:jc w:val="both"/>
        <w:rPr>
          <w:szCs w:val="24"/>
          <w:lang w:val="uk-UA"/>
        </w:rPr>
      </w:pPr>
      <w:r>
        <w:rPr>
          <w:szCs w:val="24"/>
          <w:lang w:val="uk-UA"/>
        </w:rPr>
        <w:t>Повязаними особами Товариства станом на 31.12.</w:t>
      </w:r>
      <w:r w:rsidR="00352B15">
        <w:rPr>
          <w:szCs w:val="24"/>
          <w:lang w:val="uk-UA"/>
        </w:rPr>
        <w:t>2</w:t>
      </w:r>
      <w:r w:rsidR="006749C5">
        <w:rPr>
          <w:szCs w:val="24"/>
          <w:lang w:val="uk-UA"/>
        </w:rPr>
        <w:t>1</w:t>
      </w:r>
      <w:r>
        <w:rPr>
          <w:szCs w:val="24"/>
          <w:lang w:val="uk-UA"/>
        </w:rPr>
        <w:t xml:space="preserve"> року є:</w:t>
      </w:r>
    </w:p>
    <w:p w:rsidR="00D524FE" w:rsidRPr="00D524FE" w:rsidRDefault="00D524FE" w:rsidP="00D524FE">
      <w:pPr>
        <w:pStyle w:val="a8"/>
        <w:spacing w:after="0"/>
        <w:ind w:right="40" w:firstLine="567"/>
        <w:jc w:val="both"/>
        <w:rPr>
          <w:szCs w:val="24"/>
          <w:lang w:val="uk-UA"/>
        </w:rPr>
      </w:pPr>
      <w:r>
        <w:rPr>
          <w:szCs w:val="24"/>
          <w:lang w:val="uk-UA"/>
        </w:rPr>
        <w:t xml:space="preserve"> </w:t>
      </w:r>
      <w:r w:rsidRPr="006F2181">
        <w:rPr>
          <w:lang w:val="uk-UA"/>
        </w:rPr>
        <w:t xml:space="preserve"> засновники й  посадові особи Ломбарду</w:t>
      </w:r>
      <w:r w:rsidRPr="00FB6615">
        <w:rPr>
          <w:lang w:val="uk-UA"/>
        </w:rPr>
        <w:t xml:space="preserve"> та члени їхніх сімей; особи, які відповідно до законодавства України контролюють діяльність Ломбарду; юридичні особи, що контролюються Ломбардом або разом з ним перебувають під контролем третьої особи</w:t>
      </w:r>
    </w:p>
    <w:p w:rsidR="00D524FE" w:rsidRPr="00FB6615" w:rsidRDefault="00D524FE" w:rsidP="00D524FE">
      <w:pPr>
        <w:widowControl w:val="0"/>
        <w:suppressAutoHyphens/>
        <w:overflowPunct w:val="0"/>
        <w:autoSpaceDE w:val="0"/>
        <w:ind w:firstLine="567"/>
        <w:jc w:val="both"/>
        <w:rPr>
          <w:lang w:val="uk-UA"/>
        </w:rPr>
      </w:pPr>
      <w:r w:rsidRPr="00FB6615">
        <w:rPr>
          <w:lang w:val="uk-UA"/>
        </w:rPr>
        <w:t>Юридичні пов'язані особи відсутні.</w:t>
      </w:r>
    </w:p>
    <w:p w:rsidR="00D524FE" w:rsidRPr="00FB6615" w:rsidRDefault="00D524FE" w:rsidP="00D524FE">
      <w:pPr>
        <w:widowControl w:val="0"/>
        <w:suppressAutoHyphens/>
        <w:overflowPunct w:val="0"/>
        <w:autoSpaceDE w:val="0"/>
        <w:ind w:firstLine="567"/>
        <w:jc w:val="both"/>
        <w:rPr>
          <w:lang w:val="uk-UA"/>
        </w:rPr>
      </w:pPr>
      <w:r w:rsidRPr="00FB6615">
        <w:rPr>
          <w:lang w:val="uk-UA"/>
        </w:rPr>
        <w:t>Фізичні пов'язані особи:</w:t>
      </w:r>
    </w:p>
    <w:p w:rsidR="00D524FE" w:rsidRPr="00FB6615" w:rsidRDefault="00D524FE" w:rsidP="00D524FE">
      <w:pPr>
        <w:ind w:firstLine="567"/>
        <w:jc w:val="both"/>
        <w:rPr>
          <w:lang w:val="uk-UA"/>
        </w:rPr>
      </w:pPr>
      <w:r w:rsidRPr="00FB6615">
        <w:rPr>
          <w:lang w:val="uk-UA"/>
        </w:rPr>
        <w:t>- Михайленко В’ячеслав Миколайович, засновник, директор;</w:t>
      </w:r>
    </w:p>
    <w:p w:rsidR="00D524FE" w:rsidRPr="006433A2" w:rsidRDefault="00D524FE" w:rsidP="00D524FE">
      <w:pPr>
        <w:ind w:firstLine="567"/>
        <w:jc w:val="both"/>
        <w:rPr>
          <w:lang w:val="uk-UA"/>
        </w:rPr>
      </w:pPr>
      <w:r w:rsidRPr="00FB6615">
        <w:rPr>
          <w:lang w:val="uk-UA"/>
        </w:rPr>
        <w:t>-</w:t>
      </w:r>
      <w:r>
        <w:rPr>
          <w:lang w:val="uk-UA"/>
        </w:rPr>
        <w:t xml:space="preserve"> </w:t>
      </w:r>
      <w:r w:rsidRPr="00FB6615">
        <w:rPr>
          <w:lang w:val="uk-UA"/>
        </w:rPr>
        <w:t>Півтора</w:t>
      </w:r>
      <w:r>
        <w:rPr>
          <w:lang w:val="uk-UA"/>
        </w:rPr>
        <w:t xml:space="preserve">к Олександр Іванович, засновник </w:t>
      </w:r>
      <w:r w:rsidRPr="00FB6615">
        <w:rPr>
          <w:lang w:val="uk-UA"/>
        </w:rPr>
        <w:t>;</w:t>
      </w:r>
    </w:p>
    <w:p w:rsidR="00D524FE" w:rsidRPr="006433A2" w:rsidRDefault="00D524FE" w:rsidP="00D524FE">
      <w:pPr>
        <w:ind w:firstLine="567"/>
        <w:jc w:val="both"/>
        <w:rPr>
          <w:lang w:val="uk-UA"/>
        </w:rPr>
      </w:pPr>
      <w:r w:rsidRPr="006433A2">
        <w:rPr>
          <w:lang w:val="uk-UA"/>
        </w:rPr>
        <w:t>- Підлісний Сергій Васильович, засновник</w:t>
      </w:r>
      <w:r>
        <w:rPr>
          <w:lang w:val="uk-UA"/>
        </w:rPr>
        <w:t>, договори оренди  шістьох</w:t>
      </w:r>
      <w:r w:rsidRPr="006433A2">
        <w:rPr>
          <w:lang w:val="uk-UA"/>
        </w:rPr>
        <w:t xml:space="preserve"> приміщень;</w:t>
      </w:r>
    </w:p>
    <w:p w:rsidR="00D524FE" w:rsidRPr="006433A2" w:rsidRDefault="00D524FE" w:rsidP="00D524FE">
      <w:pPr>
        <w:ind w:firstLine="567"/>
        <w:jc w:val="both"/>
        <w:rPr>
          <w:lang w:val="uk-UA"/>
        </w:rPr>
      </w:pPr>
      <w:r w:rsidRPr="006433A2">
        <w:rPr>
          <w:lang w:val="uk-UA"/>
        </w:rPr>
        <w:t>- Семеренко Інеса Олександрівна, головний бухгалтер.</w:t>
      </w:r>
    </w:p>
    <w:p w:rsidR="00D524FE" w:rsidRPr="006433A2" w:rsidRDefault="00D524FE" w:rsidP="00D524FE">
      <w:pPr>
        <w:tabs>
          <w:tab w:val="left" w:pos="0"/>
        </w:tabs>
        <w:autoSpaceDE w:val="0"/>
        <w:autoSpaceDN w:val="0"/>
        <w:adjustRightInd w:val="0"/>
        <w:ind w:firstLine="567"/>
        <w:jc w:val="both"/>
        <w:rPr>
          <w:lang w:val="uk-UA"/>
        </w:rPr>
      </w:pPr>
      <w:r w:rsidRPr="006433A2">
        <w:rPr>
          <w:lang w:val="uk-UA"/>
        </w:rPr>
        <w:t>Протягом звітного року Ломбард мав операції з пов'язаними сторонами, а саме засновника</w:t>
      </w:r>
      <w:r>
        <w:rPr>
          <w:lang w:val="uk-UA"/>
        </w:rPr>
        <w:t>ми, стосовно оренди приміщень .</w:t>
      </w:r>
      <w:r w:rsidRPr="006433A2">
        <w:rPr>
          <w:lang w:val="uk-UA"/>
        </w:rPr>
        <w:t xml:space="preserve">  Посадові особи отримували нараховані виплати з фонду оплати праці згідно штатного розкладу. Пенсійні програми не використовуються. </w:t>
      </w:r>
    </w:p>
    <w:p w:rsidR="00D524FE" w:rsidRDefault="00D524FE" w:rsidP="00C429BC">
      <w:pPr>
        <w:pStyle w:val="a8"/>
        <w:spacing w:after="0"/>
        <w:ind w:right="40" w:firstLine="567"/>
        <w:jc w:val="both"/>
        <w:rPr>
          <w:b/>
          <w:szCs w:val="24"/>
          <w:lang w:val="uk-UA"/>
        </w:rPr>
      </w:pPr>
    </w:p>
    <w:p w:rsidR="00CF2A19" w:rsidRPr="00273490" w:rsidRDefault="009750CD" w:rsidP="00C429BC">
      <w:pPr>
        <w:pStyle w:val="a8"/>
        <w:spacing w:after="0"/>
        <w:ind w:right="40" w:firstLine="567"/>
        <w:jc w:val="both"/>
        <w:rPr>
          <w:b/>
          <w:szCs w:val="24"/>
          <w:lang w:val="uk-UA"/>
        </w:rPr>
      </w:pPr>
      <w:r w:rsidRPr="00273490">
        <w:rPr>
          <w:b/>
          <w:szCs w:val="24"/>
          <w:lang w:val="uk-UA"/>
        </w:rPr>
        <w:t>10</w:t>
      </w:r>
      <w:r w:rsidR="00DA4ACF" w:rsidRPr="00273490">
        <w:rPr>
          <w:b/>
          <w:szCs w:val="24"/>
          <w:lang w:val="uk-UA"/>
        </w:rPr>
        <w:t xml:space="preserve">. </w:t>
      </w:r>
      <w:r w:rsidR="00DA4ACF" w:rsidRPr="00273490">
        <w:rPr>
          <w:b/>
          <w:lang w:val="uk-UA"/>
        </w:rPr>
        <w:t>Події після дати балансу</w:t>
      </w:r>
    </w:p>
    <w:p w:rsidR="00273490" w:rsidRDefault="00273490" w:rsidP="003A1373">
      <w:pPr>
        <w:ind w:firstLine="425"/>
        <w:contextualSpacing/>
        <w:jc w:val="both"/>
        <w:rPr>
          <w:lang w:val="uk-UA"/>
        </w:rPr>
      </w:pPr>
    </w:p>
    <w:p w:rsidR="003A1373" w:rsidRPr="00273490" w:rsidRDefault="003A1373" w:rsidP="003A1373">
      <w:pPr>
        <w:ind w:firstLine="425"/>
        <w:contextualSpacing/>
        <w:jc w:val="both"/>
        <w:rPr>
          <w:lang w:val="uk-UA"/>
        </w:rPr>
      </w:pPr>
      <w:r w:rsidRPr="00273490">
        <w:rPr>
          <w:lang w:val="uk-UA"/>
        </w:rPr>
        <w:t>Відповідно до Міжнародного стандарту бухгалтерського обліку 10 “Події після звітного періоду” події після звітної дати можуть бути двох категорій:</w:t>
      </w:r>
    </w:p>
    <w:p w:rsidR="003A1373" w:rsidRPr="00273490" w:rsidRDefault="003A1373" w:rsidP="003A1373">
      <w:pPr>
        <w:ind w:firstLine="425"/>
        <w:contextualSpacing/>
        <w:jc w:val="both"/>
        <w:rPr>
          <w:lang w:val="uk-UA"/>
        </w:rPr>
      </w:pPr>
      <w:r w:rsidRPr="00273490">
        <w:rPr>
          <w:lang w:val="uk-UA"/>
        </w:rPr>
        <w:t>а) події, які свідчать про умови, що існували на кінець звітного періоду (події, які вимагають коригування після звітного періоду); та</w:t>
      </w:r>
    </w:p>
    <w:p w:rsidR="003A1373" w:rsidRPr="00273490" w:rsidRDefault="003A1373" w:rsidP="003A1373">
      <w:pPr>
        <w:ind w:firstLine="425"/>
        <w:contextualSpacing/>
        <w:jc w:val="both"/>
        <w:rPr>
          <w:lang w:val="uk-UA"/>
        </w:rPr>
      </w:pPr>
      <w:r w:rsidRPr="00273490">
        <w:rPr>
          <w:lang w:val="uk-UA"/>
        </w:rPr>
        <w:t>б) події, які свідчать про умови, що виникли після звітного періоду (події, які не вимагають коригування після звітного періоду).</w:t>
      </w:r>
    </w:p>
    <w:p w:rsidR="003A1373" w:rsidRPr="00273490" w:rsidRDefault="003A1373" w:rsidP="003A1373">
      <w:pPr>
        <w:ind w:firstLine="425"/>
        <w:contextualSpacing/>
        <w:jc w:val="both"/>
      </w:pPr>
      <w:r w:rsidRPr="00273490">
        <w:rPr>
          <w:lang w:val="uk-UA"/>
        </w:rPr>
        <w:t xml:space="preserve">24 лютого 2022 року почалося вторгнення Росії в Україну. Указом Президента України від 24.02.2022р. № 64/2022 в Україні введено воєнний стан з 05 години 30 хвилин 24 лютого 2022 року строком на 30 діб, 15 березня Верховна Рада затвердила Указ Президента України «Про продовження строку дії воєнного стану в Україні». Йдеться про продовження дії воєнного стану ще на 30 днів – з 05 години 30 хв. 26 березня до 24 квітня 2022 року включно. 21 квітня 2022 року Верховна Рада прийняла Закон України «Про затвердження Указу Президента України «Про продовження строку дії воєнного стану в Україні» від 19.04.2022 № 7300, за яким воєнний стан в Україні продовжують з 05:30 25 квітня 2022 року строком на 30 діб – до 25 травня 2022 року. </w:t>
      </w:r>
    </w:p>
    <w:p w:rsidR="003A1373" w:rsidRPr="00273490" w:rsidRDefault="003A1373" w:rsidP="003A1373">
      <w:pPr>
        <w:ind w:firstLine="425"/>
        <w:contextualSpacing/>
        <w:jc w:val="both"/>
        <w:rPr>
          <w:lang w:val="uk-UA"/>
        </w:rPr>
      </w:pPr>
      <w:r w:rsidRPr="00273490">
        <w:rPr>
          <w:lang w:val="uk-UA"/>
        </w:rPr>
        <w:t>Президентом України підписано закони України від 03 березня 2022 року № 2115-IX «Про захист інтересів суб’єктів подання звітності та інших документів у період дії воєнного стану або стану війни» та №2118-IX «Про внесення змін до Податкового кодексу України та інших законодавчих актів України щодо особливостей оподаткування та подання звітності у період дії воєнного стану» (далі – Закон № 2118). Закон передбачає надання можливості фізичним особам, ФОП, юридичним особам подати податкові, облікові, фінансові, бухгалтерські, розрахункові, аудиторські звіти та будь-які інші документи, подання яких вимагається відповідно до норм чинного законодавства в документальній та (або) в електронній формі, через 90 календарних днів після припинення чи скасування воєнного стану за весь період неподання звітності чи обов’язку подати документи. Граничні строки подання звітності в період воєнного стану продовжено.</w:t>
      </w:r>
    </w:p>
    <w:p w:rsidR="003A1373" w:rsidRPr="00273490" w:rsidRDefault="003A1373" w:rsidP="00273490">
      <w:pPr>
        <w:ind w:firstLine="425"/>
        <w:contextualSpacing/>
        <w:jc w:val="both"/>
        <w:rPr>
          <w:lang w:val="uk-UA"/>
        </w:rPr>
      </w:pPr>
      <w:r w:rsidRPr="00273490">
        <w:rPr>
          <w:lang w:val="uk-UA"/>
        </w:rPr>
        <w:t>Для мінімізації ризиків для працівників в період воєнного стану, вони були переведені на віддалену роботу до майбутнього повідомлення, за виключенням осіб, які необхідні для запуску критично важливих сфер офісних систем Керівництво провело тестування можливостей програмного забезпечення і систем для забезпечення плавного переходу до режиму віддаленої та безперебійної роботи всіх робочих процесів. Здоров’я і безпека співробітників залишаються в центрі уваги керівництва.</w:t>
      </w:r>
    </w:p>
    <w:p w:rsidR="003A1373" w:rsidRPr="00273490" w:rsidRDefault="003A1373" w:rsidP="003A1373">
      <w:pPr>
        <w:ind w:firstLine="425"/>
        <w:contextualSpacing/>
        <w:jc w:val="both"/>
        <w:rPr>
          <w:lang w:val="uk-UA"/>
        </w:rPr>
      </w:pPr>
      <w:r w:rsidRPr="00273490">
        <w:rPr>
          <w:lang w:val="uk-UA"/>
        </w:rPr>
        <w:t>Оскільки вторгнення в Україну відбулося наприкінці лютого 2022 року, це подія, яка не вимагає коригування після звітного періоду та яка не вплинула на показники фінансової звітності, підготовленої Товариством станом на 31 грудня 2021 року.</w:t>
      </w:r>
    </w:p>
    <w:p w:rsidR="003A1373" w:rsidRPr="00273490" w:rsidRDefault="003A1373" w:rsidP="003A1373">
      <w:pPr>
        <w:ind w:firstLine="425"/>
        <w:contextualSpacing/>
        <w:jc w:val="both"/>
        <w:rPr>
          <w:i/>
          <w:lang w:val="uk-UA"/>
        </w:rPr>
      </w:pPr>
    </w:p>
    <w:p w:rsidR="003A1373" w:rsidRPr="00273490" w:rsidRDefault="003A1373" w:rsidP="003A1373">
      <w:pPr>
        <w:ind w:firstLine="425"/>
        <w:contextualSpacing/>
        <w:jc w:val="both"/>
        <w:rPr>
          <w:i/>
          <w:lang w:val="uk-UA"/>
        </w:rPr>
      </w:pPr>
      <w:r w:rsidRPr="00273490">
        <w:rPr>
          <w:i/>
          <w:lang w:val="uk-UA"/>
        </w:rPr>
        <w:t>Очікуваний вплив на наступний звітний період</w:t>
      </w:r>
    </w:p>
    <w:p w:rsidR="003A1373" w:rsidRPr="00273490" w:rsidRDefault="003A1373" w:rsidP="003A1373">
      <w:pPr>
        <w:ind w:firstLine="425"/>
        <w:contextualSpacing/>
        <w:jc w:val="both"/>
        <w:rPr>
          <w:i/>
          <w:lang w:val="uk-UA"/>
        </w:rPr>
      </w:pPr>
    </w:p>
    <w:p w:rsidR="003A1373" w:rsidRPr="00273490" w:rsidRDefault="003A1373" w:rsidP="003A1373">
      <w:pPr>
        <w:ind w:firstLine="425"/>
        <w:contextualSpacing/>
        <w:jc w:val="both"/>
        <w:rPr>
          <w:lang w:val="uk-UA"/>
        </w:rPr>
      </w:pPr>
      <w:r w:rsidRPr="00273490">
        <w:rPr>
          <w:lang w:val="uk-UA"/>
        </w:rPr>
        <w:t>Враховуючи вищевикладене, руйнівні наслідки вторгнення Російської Федерації в Україну охоплюють всі сфери життя, економічні наслідки війни матимуть значний вплив на бухгалтерській облік та звітність банків, оскільки ситуація постійно змінюється і виникатиме потреба у постійному та регулярному перегляді бухгалтерських оцінок, відповідних моделей та підходів для відображення актуальної, доречної та правдивої інформації в бухгалтерському обліку та фінансовій звітності.</w:t>
      </w:r>
    </w:p>
    <w:p w:rsidR="003A1373" w:rsidRPr="00273490" w:rsidRDefault="003A1373" w:rsidP="00273490">
      <w:pPr>
        <w:shd w:val="clear" w:color="auto" w:fill="FFFFFF"/>
        <w:autoSpaceDE w:val="0"/>
        <w:autoSpaceDN w:val="0"/>
        <w:adjustRightInd w:val="0"/>
        <w:ind w:firstLine="357"/>
        <w:contextualSpacing/>
        <w:jc w:val="both"/>
        <w:rPr>
          <w:lang w:val="uk-UA"/>
        </w:rPr>
      </w:pPr>
      <w:r w:rsidRPr="00273490">
        <w:rPr>
          <w:lang w:val="uk-UA"/>
        </w:rPr>
        <w:t xml:space="preserve"> </w:t>
      </w:r>
    </w:p>
    <w:p w:rsidR="003A1373" w:rsidRPr="00273490" w:rsidRDefault="003A1373" w:rsidP="003A1373">
      <w:pPr>
        <w:shd w:val="clear" w:color="auto" w:fill="FFFFFF"/>
        <w:autoSpaceDE w:val="0"/>
        <w:autoSpaceDN w:val="0"/>
        <w:adjustRightInd w:val="0"/>
        <w:ind w:firstLine="357"/>
        <w:contextualSpacing/>
        <w:jc w:val="both"/>
        <w:rPr>
          <w:color w:val="000000" w:themeColor="text1"/>
          <w:lang w:val="uk-UA"/>
        </w:rPr>
      </w:pPr>
      <w:r w:rsidRPr="00273490">
        <w:rPr>
          <w:color w:val="000000" w:themeColor="text1"/>
          <w:lang w:val="uk-UA"/>
        </w:rPr>
        <w:t>Зазначені вище події, є такими, що мають суттєвий вплив на діяльність і розвиток Товариства, та можуть спричинити невизначеності, щодо безперервності діяльності.</w:t>
      </w:r>
    </w:p>
    <w:p w:rsidR="003A1373" w:rsidRPr="00273490" w:rsidRDefault="003A1373" w:rsidP="003A1373">
      <w:pPr>
        <w:shd w:val="clear" w:color="auto" w:fill="FFFFFF"/>
        <w:autoSpaceDE w:val="0"/>
        <w:autoSpaceDN w:val="0"/>
        <w:adjustRightInd w:val="0"/>
        <w:ind w:firstLine="357"/>
        <w:contextualSpacing/>
        <w:jc w:val="both"/>
        <w:rPr>
          <w:color w:val="000000" w:themeColor="text1"/>
          <w:lang w:val="uk-UA"/>
        </w:rPr>
      </w:pPr>
      <w:r w:rsidRPr="00273490">
        <w:rPr>
          <w:color w:val="000000" w:themeColor="text1"/>
          <w:lang w:val="uk-UA"/>
        </w:rPr>
        <w:t>На цкй час керівництво Товариства здійснює оцінку впливу цих подій на подальшу діяльність Товариства.</w:t>
      </w:r>
    </w:p>
    <w:p w:rsidR="003A1373" w:rsidRPr="00273490" w:rsidRDefault="003A1373" w:rsidP="003A1373">
      <w:pPr>
        <w:shd w:val="clear" w:color="auto" w:fill="FFFFFF"/>
        <w:autoSpaceDE w:val="0"/>
        <w:autoSpaceDN w:val="0"/>
        <w:adjustRightInd w:val="0"/>
        <w:ind w:firstLine="357"/>
        <w:contextualSpacing/>
        <w:jc w:val="both"/>
        <w:rPr>
          <w:color w:val="000000" w:themeColor="text1"/>
          <w:lang w:val="uk-UA"/>
        </w:rPr>
      </w:pPr>
      <w:r w:rsidRPr="00273490">
        <w:rPr>
          <w:color w:val="000000" w:themeColor="text1"/>
          <w:lang w:val="uk-UA"/>
        </w:rPr>
        <w:t>Керівництво вважає що не існувало більше інших подій, після звітної дати, які необхідно розкрити у звітності</w:t>
      </w:r>
    </w:p>
    <w:p w:rsidR="00640060" w:rsidRPr="00DD57A1" w:rsidRDefault="00640060" w:rsidP="00E430D2">
      <w:pPr>
        <w:jc w:val="both"/>
        <w:rPr>
          <w:lang w:val="uk-UA"/>
        </w:rPr>
      </w:pPr>
    </w:p>
    <w:p w:rsidR="00CF2A19" w:rsidRPr="001D2F7B" w:rsidRDefault="00CF2A19" w:rsidP="00C429BC">
      <w:pPr>
        <w:pStyle w:val="a8"/>
        <w:spacing w:after="0"/>
        <w:ind w:right="40" w:firstLine="567"/>
        <w:jc w:val="both"/>
        <w:rPr>
          <w:b/>
          <w:sz w:val="28"/>
          <w:szCs w:val="28"/>
          <w:lang w:val="uk-UA"/>
        </w:rPr>
      </w:pPr>
    </w:p>
    <w:p w:rsidR="00CF2A19" w:rsidRPr="00E430D2" w:rsidRDefault="005E61E5" w:rsidP="00E430D2">
      <w:pPr>
        <w:ind w:firstLine="567"/>
        <w:jc w:val="both"/>
        <w:rPr>
          <w:sz w:val="28"/>
          <w:szCs w:val="28"/>
          <w:lang w:val="uk-UA"/>
        </w:rPr>
      </w:pPr>
      <w:r w:rsidRPr="001D2F7B">
        <w:rPr>
          <w:sz w:val="28"/>
          <w:szCs w:val="28"/>
          <w:lang w:val="uk-UA"/>
        </w:rPr>
        <w:t xml:space="preserve">Директор                                                                               </w:t>
      </w:r>
      <w:r w:rsidR="001D2F7B" w:rsidRPr="001D2F7B">
        <w:rPr>
          <w:sz w:val="28"/>
          <w:szCs w:val="28"/>
          <w:lang w:val="uk-UA"/>
        </w:rPr>
        <w:t>Михайленко В.М.</w:t>
      </w:r>
    </w:p>
    <w:p w:rsidR="00CF2A19" w:rsidRPr="001D2F7B" w:rsidRDefault="00CF2A19" w:rsidP="00C429BC">
      <w:pPr>
        <w:ind w:firstLine="567"/>
        <w:jc w:val="both"/>
        <w:rPr>
          <w:sz w:val="28"/>
          <w:szCs w:val="28"/>
          <w:lang w:val="uk-UA"/>
        </w:rPr>
      </w:pPr>
    </w:p>
    <w:p w:rsidR="00B22AE4" w:rsidRPr="001D2F7B" w:rsidRDefault="005E61E5" w:rsidP="00B22AE4">
      <w:pPr>
        <w:ind w:firstLine="567"/>
        <w:jc w:val="both"/>
        <w:rPr>
          <w:sz w:val="28"/>
          <w:szCs w:val="28"/>
          <w:lang w:val="uk-UA"/>
        </w:rPr>
      </w:pPr>
      <w:r w:rsidRPr="001D2F7B">
        <w:rPr>
          <w:sz w:val="28"/>
          <w:szCs w:val="28"/>
          <w:lang w:val="uk-UA"/>
        </w:rPr>
        <w:t>Головний</w:t>
      </w:r>
      <w:r w:rsidR="000951B7" w:rsidRPr="001D2F7B">
        <w:rPr>
          <w:sz w:val="28"/>
          <w:szCs w:val="28"/>
        </w:rPr>
        <w:t xml:space="preserve"> </w:t>
      </w:r>
      <w:r w:rsidRPr="001D2F7B">
        <w:rPr>
          <w:sz w:val="28"/>
          <w:szCs w:val="28"/>
          <w:lang w:val="uk-UA"/>
        </w:rPr>
        <w:t xml:space="preserve">бухгалтер                                                 </w:t>
      </w:r>
      <w:r w:rsidR="000951B7" w:rsidRPr="001D2F7B">
        <w:rPr>
          <w:sz w:val="28"/>
          <w:szCs w:val="28"/>
        </w:rPr>
        <w:t xml:space="preserve">   </w:t>
      </w:r>
      <w:r w:rsidRPr="001D2F7B">
        <w:rPr>
          <w:sz w:val="28"/>
          <w:szCs w:val="28"/>
          <w:lang w:val="uk-UA"/>
        </w:rPr>
        <w:t xml:space="preserve">     </w:t>
      </w:r>
      <w:r w:rsidR="001D2F7B">
        <w:rPr>
          <w:sz w:val="28"/>
          <w:szCs w:val="28"/>
          <w:lang w:val="uk-UA"/>
        </w:rPr>
        <w:t xml:space="preserve">  </w:t>
      </w:r>
      <w:r w:rsidRPr="001D2F7B">
        <w:rPr>
          <w:sz w:val="28"/>
          <w:szCs w:val="28"/>
          <w:lang w:val="uk-UA"/>
        </w:rPr>
        <w:t xml:space="preserve">    </w:t>
      </w:r>
      <w:r w:rsidR="001D2F7B" w:rsidRPr="001D2F7B">
        <w:rPr>
          <w:sz w:val="28"/>
          <w:szCs w:val="28"/>
          <w:lang w:val="uk-UA"/>
        </w:rPr>
        <w:t>Семеренко І.О.</w:t>
      </w:r>
    </w:p>
    <w:p w:rsidR="005E61E5" w:rsidRPr="00DD57A1" w:rsidRDefault="005E61E5" w:rsidP="00C429BC">
      <w:pPr>
        <w:ind w:firstLine="567"/>
        <w:jc w:val="both"/>
        <w:rPr>
          <w:lang w:val="uk-UA"/>
        </w:rPr>
      </w:pPr>
    </w:p>
    <w:sectPr w:rsidR="005E61E5" w:rsidRPr="00DD57A1" w:rsidSect="003A7BD9">
      <w:pgSz w:w="11906" w:h="16838"/>
      <w:pgMar w:top="709" w:right="850" w:bottom="851"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1E20" w:rsidRDefault="00441E20">
      <w:r>
        <w:separator/>
      </w:r>
    </w:p>
  </w:endnote>
  <w:endnote w:type="continuationSeparator" w:id="0">
    <w:p w:rsidR="00441E20" w:rsidRDefault="00441E2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Yu Gothic"/>
    <w:charset w:val="80"/>
    <w:family w:val="auto"/>
    <w:pitch w:val="default"/>
    <w:sig w:usb0="00000001" w:usb1="08070000" w:usb2="00000010" w:usb3="00000000" w:csb0="0002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5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ndara">
    <w:panose1 w:val="020E0502030303020204"/>
    <w:charset w:val="CC"/>
    <w:family w:val="swiss"/>
    <w:pitch w:val="variable"/>
    <w:sig w:usb0="A00002EF" w:usb1="4000204B" w:usb2="00000000" w:usb3="00000000" w:csb0="0000009F" w:csb1="00000000"/>
  </w:font>
  <w:font w:name="Franklin Gothic Medium Cond">
    <w:charset w:val="00"/>
    <w:family w:val="swiss"/>
    <w:pitch w:val="variable"/>
    <w:sig w:usb0="00000287" w:usb1="00000000" w:usb2="00000000" w:usb3="00000000" w:csb0="0000009F" w:csb1="00000000"/>
  </w:font>
  <w:font w:name="Calibri Light">
    <w:altName w:val="Segoe UI"/>
    <w:charset w:val="00"/>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1E20" w:rsidRDefault="00441E20">
      <w:r>
        <w:separator/>
      </w:r>
    </w:p>
  </w:footnote>
  <w:footnote w:type="continuationSeparator" w:id="0">
    <w:p w:rsidR="00441E20" w:rsidRDefault="00441E2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E"/>
    <w:multiLevelType w:val="singleLevel"/>
    <w:tmpl w:val="7402F350"/>
    <w:lvl w:ilvl="0">
      <w:start w:val="1"/>
      <w:numFmt w:val="decimal"/>
      <w:lvlText w:val="%1."/>
      <w:lvlJc w:val="left"/>
      <w:pPr>
        <w:tabs>
          <w:tab w:val="num" w:pos="926"/>
        </w:tabs>
        <w:ind w:left="926" w:hanging="360"/>
      </w:pPr>
      <w:rPr>
        <w:rFonts w:cs="Times New Roman"/>
      </w:rPr>
    </w:lvl>
  </w:abstractNum>
  <w:abstractNum w:abstractNumId="1">
    <w:nsid w:val="FFFFFFFE"/>
    <w:multiLevelType w:val="singleLevel"/>
    <w:tmpl w:val="C142ABB6"/>
    <w:lvl w:ilvl="0">
      <w:numFmt w:val="bullet"/>
      <w:lvlText w:val="*"/>
      <w:lvlJc w:val="left"/>
    </w:lvl>
  </w:abstractNum>
  <w:abstractNum w:abstractNumId="2">
    <w:nsid w:val="00000001"/>
    <w:multiLevelType w:val="multilevel"/>
    <w:tmpl w:val="00000001"/>
    <w:name w:val="WW8Num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02A053B9"/>
    <w:multiLevelType w:val="multilevel"/>
    <w:tmpl w:val="2BE430F4"/>
    <w:lvl w:ilvl="0">
      <w:start w:val="1"/>
      <w:numFmt w:val="decimal"/>
      <w:lvlText w:val="%1."/>
      <w:lvlJc w:val="left"/>
      <w:pPr>
        <w:ind w:left="1920" w:hanging="360"/>
      </w:pPr>
      <w:rPr>
        <w:rFonts w:cs="Times New Roman" w:hint="default"/>
        <w:lang w:val="ru-RU"/>
      </w:rPr>
    </w:lvl>
    <w:lvl w:ilvl="1">
      <w:start w:val="1"/>
      <w:numFmt w:val="decimal"/>
      <w:isLgl/>
      <w:lvlText w:val="%1.%2."/>
      <w:lvlJc w:val="left"/>
      <w:pPr>
        <w:ind w:left="1260" w:hanging="360"/>
      </w:pPr>
      <w:rPr>
        <w:rFonts w:cs="Times New Roman" w:hint="default"/>
      </w:rPr>
    </w:lvl>
    <w:lvl w:ilvl="2">
      <w:start w:val="1"/>
      <w:numFmt w:val="decimal"/>
      <w:isLgl/>
      <w:lvlText w:val="%1.%2.%3."/>
      <w:lvlJc w:val="left"/>
      <w:pPr>
        <w:ind w:left="1428" w:hanging="720"/>
      </w:pPr>
      <w:rPr>
        <w:rFonts w:cs="Times New Roman" w:hint="default"/>
      </w:rPr>
    </w:lvl>
    <w:lvl w:ilvl="3">
      <w:start w:val="1"/>
      <w:numFmt w:val="decimal"/>
      <w:isLgl/>
      <w:lvlText w:val="%1.%2.%3.%4."/>
      <w:lvlJc w:val="left"/>
      <w:pPr>
        <w:ind w:left="1428" w:hanging="720"/>
      </w:pPr>
      <w:rPr>
        <w:rFonts w:cs="Times New Roman" w:hint="default"/>
      </w:rPr>
    </w:lvl>
    <w:lvl w:ilvl="4">
      <w:start w:val="1"/>
      <w:numFmt w:val="decimal"/>
      <w:isLgl/>
      <w:lvlText w:val="%1.%2.%3.%4.%5."/>
      <w:lvlJc w:val="left"/>
      <w:pPr>
        <w:ind w:left="1788" w:hanging="1080"/>
      </w:pPr>
      <w:rPr>
        <w:rFonts w:cs="Times New Roman" w:hint="default"/>
      </w:rPr>
    </w:lvl>
    <w:lvl w:ilvl="5">
      <w:start w:val="1"/>
      <w:numFmt w:val="decimal"/>
      <w:isLgl/>
      <w:lvlText w:val="%1.%2.%3.%4.%5.%6."/>
      <w:lvlJc w:val="left"/>
      <w:pPr>
        <w:ind w:left="1788" w:hanging="1080"/>
      </w:pPr>
      <w:rPr>
        <w:rFonts w:cs="Times New Roman" w:hint="default"/>
      </w:rPr>
    </w:lvl>
    <w:lvl w:ilvl="6">
      <w:start w:val="1"/>
      <w:numFmt w:val="decimal"/>
      <w:isLgl/>
      <w:lvlText w:val="%1.%2.%3.%4.%5.%6.%7."/>
      <w:lvlJc w:val="left"/>
      <w:pPr>
        <w:ind w:left="2148" w:hanging="1440"/>
      </w:pPr>
      <w:rPr>
        <w:rFonts w:cs="Times New Roman" w:hint="default"/>
      </w:rPr>
    </w:lvl>
    <w:lvl w:ilvl="7">
      <w:start w:val="1"/>
      <w:numFmt w:val="decimal"/>
      <w:isLgl/>
      <w:lvlText w:val="%1.%2.%3.%4.%5.%6.%7.%8."/>
      <w:lvlJc w:val="left"/>
      <w:pPr>
        <w:ind w:left="2148" w:hanging="1440"/>
      </w:pPr>
      <w:rPr>
        <w:rFonts w:cs="Times New Roman" w:hint="default"/>
      </w:rPr>
    </w:lvl>
    <w:lvl w:ilvl="8">
      <w:start w:val="1"/>
      <w:numFmt w:val="decimal"/>
      <w:isLgl/>
      <w:lvlText w:val="%1.%2.%3.%4.%5.%6.%7.%8.%9."/>
      <w:lvlJc w:val="left"/>
      <w:pPr>
        <w:ind w:left="2508" w:hanging="1800"/>
      </w:pPr>
      <w:rPr>
        <w:rFonts w:cs="Times New Roman" w:hint="default"/>
      </w:rPr>
    </w:lvl>
  </w:abstractNum>
  <w:abstractNum w:abstractNumId="4">
    <w:nsid w:val="0607612C"/>
    <w:multiLevelType w:val="hybridMultilevel"/>
    <w:tmpl w:val="4FE699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FE5162"/>
    <w:multiLevelType w:val="hybridMultilevel"/>
    <w:tmpl w:val="E83AA56A"/>
    <w:lvl w:ilvl="0" w:tplc="581807C8">
      <w:numFmt w:val="bullet"/>
      <w:lvlText w:val="-"/>
      <w:lvlJc w:val="left"/>
      <w:pPr>
        <w:ind w:left="1040" w:hanging="360"/>
      </w:pPr>
      <w:rPr>
        <w:rFonts w:ascii="Times New Roman" w:eastAsia="Times New Roman" w:hAnsi="Times New Roman" w:hint="default"/>
      </w:rPr>
    </w:lvl>
    <w:lvl w:ilvl="1" w:tplc="04190003">
      <w:start w:val="1"/>
      <w:numFmt w:val="bullet"/>
      <w:lvlText w:val="o"/>
      <w:lvlJc w:val="left"/>
      <w:pPr>
        <w:ind w:left="1760" w:hanging="360"/>
      </w:pPr>
      <w:rPr>
        <w:rFonts w:ascii="Courier New" w:hAnsi="Courier New" w:hint="default"/>
      </w:rPr>
    </w:lvl>
    <w:lvl w:ilvl="2" w:tplc="04190005">
      <w:start w:val="1"/>
      <w:numFmt w:val="bullet"/>
      <w:lvlText w:val=""/>
      <w:lvlJc w:val="left"/>
      <w:pPr>
        <w:ind w:left="2480" w:hanging="360"/>
      </w:pPr>
      <w:rPr>
        <w:rFonts w:ascii="Wingdings" w:hAnsi="Wingdings" w:hint="default"/>
      </w:rPr>
    </w:lvl>
    <w:lvl w:ilvl="3" w:tplc="04190001">
      <w:start w:val="1"/>
      <w:numFmt w:val="bullet"/>
      <w:lvlText w:val=""/>
      <w:lvlJc w:val="left"/>
      <w:pPr>
        <w:ind w:left="3200" w:hanging="360"/>
      </w:pPr>
      <w:rPr>
        <w:rFonts w:ascii="Symbol" w:hAnsi="Symbol" w:hint="default"/>
      </w:rPr>
    </w:lvl>
    <w:lvl w:ilvl="4" w:tplc="04190003">
      <w:start w:val="1"/>
      <w:numFmt w:val="bullet"/>
      <w:lvlText w:val="o"/>
      <w:lvlJc w:val="left"/>
      <w:pPr>
        <w:ind w:left="3920" w:hanging="360"/>
      </w:pPr>
      <w:rPr>
        <w:rFonts w:ascii="Courier New" w:hAnsi="Courier New" w:hint="default"/>
      </w:rPr>
    </w:lvl>
    <w:lvl w:ilvl="5" w:tplc="04190005">
      <w:start w:val="1"/>
      <w:numFmt w:val="bullet"/>
      <w:lvlText w:val=""/>
      <w:lvlJc w:val="left"/>
      <w:pPr>
        <w:ind w:left="4640" w:hanging="360"/>
      </w:pPr>
      <w:rPr>
        <w:rFonts w:ascii="Wingdings" w:hAnsi="Wingdings" w:hint="default"/>
      </w:rPr>
    </w:lvl>
    <w:lvl w:ilvl="6" w:tplc="04190001">
      <w:start w:val="1"/>
      <w:numFmt w:val="bullet"/>
      <w:lvlText w:val=""/>
      <w:lvlJc w:val="left"/>
      <w:pPr>
        <w:ind w:left="5360" w:hanging="360"/>
      </w:pPr>
      <w:rPr>
        <w:rFonts w:ascii="Symbol" w:hAnsi="Symbol" w:hint="default"/>
      </w:rPr>
    </w:lvl>
    <w:lvl w:ilvl="7" w:tplc="04190003">
      <w:start w:val="1"/>
      <w:numFmt w:val="bullet"/>
      <w:lvlText w:val="o"/>
      <w:lvlJc w:val="left"/>
      <w:pPr>
        <w:ind w:left="6080" w:hanging="360"/>
      </w:pPr>
      <w:rPr>
        <w:rFonts w:ascii="Courier New" w:hAnsi="Courier New" w:hint="default"/>
      </w:rPr>
    </w:lvl>
    <w:lvl w:ilvl="8" w:tplc="04190005">
      <w:start w:val="1"/>
      <w:numFmt w:val="bullet"/>
      <w:lvlText w:val=""/>
      <w:lvlJc w:val="left"/>
      <w:pPr>
        <w:ind w:left="6800" w:hanging="360"/>
      </w:pPr>
      <w:rPr>
        <w:rFonts w:ascii="Wingdings" w:hAnsi="Wingdings" w:hint="default"/>
      </w:rPr>
    </w:lvl>
  </w:abstractNum>
  <w:abstractNum w:abstractNumId="6">
    <w:nsid w:val="0BD938E4"/>
    <w:multiLevelType w:val="hybridMultilevel"/>
    <w:tmpl w:val="6C88FBE0"/>
    <w:lvl w:ilvl="0" w:tplc="04220001">
      <w:start w:val="1"/>
      <w:numFmt w:val="bullet"/>
      <w:lvlText w:val=""/>
      <w:lvlJc w:val="left"/>
      <w:pPr>
        <w:ind w:left="1077" w:hanging="360"/>
      </w:pPr>
      <w:rPr>
        <w:rFonts w:ascii="Symbol" w:hAnsi="Symbol" w:hint="default"/>
      </w:rPr>
    </w:lvl>
    <w:lvl w:ilvl="1" w:tplc="04220003" w:tentative="1">
      <w:start w:val="1"/>
      <w:numFmt w:val="bullet"/>
      <w:lvlText w:val="o"/>
      <w:lvlJc w:val="left"/>
      <w:pPr>
        <w:ind w:left="1797" w:hanging="360"/>
      </w:pPr>
      <w:rPr>
        <w:rFonts w:ascii="Courier New" w:hAnsi="Courier New" w:cs="Courier New" w:hint="default"/>
      </w:rPr>
    </w:lvl>
    <w:lvl w:ilvl="2" w:tplc="04220005" w:tentative="1">
      <w:start w:val="1"/>
      <w:numFmt w:val="bullet"/>
      <w:lvlText w:val=""/>
      <w:lvlJc w:val="left"/>
      <w:pPr>
        <w:ind w:left="2517" w:hanging="360"/>
      </w:pPr>
      <w:rPr>
        <w:rFonts w:ascii="Wingdings" w:hAnsi="Wingdings" w:hint="default"/>
      </w:rPr>
    </w:lvl>
    <w:lvl w:ilvl="3" w:tplc="04220001" w:tentative="1">
      <w:start w:val="1"/>
      <w:numFmt w:val="bullet"/>
      <w:lvlText w:val=""/>
      <w:lvlJc w:val="left"/>
      <w:pPr>
        <w:ind w:left="3237" w:hanging="360"/>
      </w:pPr>
      <w:rPr>
        <w:rFonts w:ascii="Symbol" w:hAnsi="Symbol" w:hint="default"/>
      </w:rPr>
    </w:lvl>
    <w:lvl w:ilvl="4" w:tplc="04220003" w:tentative="1">
      <w:start w:val="1"/>
      <w:numFmt w:val="bullet"/>
      <w:lvlText w:val="o"/>
      <w:lvlJc w:val="left"/>
      <w:pPr>
        <w:ind w:left="3957" w:hanging="360"/>
      </w:pPr>
      <w:rPr>
        <w:rFonts w:ascii="Courier New" w:hAnsi="Courier New" w:cs="Courier New" w:hint="default"/>
      </w:rPr>
    </w:lvl>
    <w:lvl w:ilvl="5" w:tplc="04220005" w:tentative="1">
      <w:start w:val="1"/>
      <w:numFmt w:val="bullet"/>
      <w:lvlText w:val=""/>
      <w:lvlJc w:val="left"/>
      <w:pPr>
        <w:ind w:left="4677" w:hanging="360"/>
      </w:pPr>
      <w:rPr>
        <w:rFonts w:ascii="Wingdings" w:hAnsi="Wingdings" w:hint="default"/>
      </w:rPr>
    </w:lvl>
    <w:lvl w:ilvl="6" w:tplc="04220001" w:tentative="1">
      <w:start w:val="1"/>
      <w:numFmt w:val="bullet"/>
      <w:lvlText w:val=""/>
      <w:lvlJc w:val="left"/>
      <w:pPr>
        <w:ind w:left="5397" w:hanging="360"/>
      </w:pPr>
      <w:rPr>
        <w:rFonts w:ascii="Symbol" w:hAnsi="Symbol" w:hint="default"/>
      </w:rPr>
    </w:lvl>
    <w:lvl w:ilvl="7" w:tplc="04220003" w:tentative="1">
      <w:start w:val="1"/>
      <w:numFmt w:val="bullet"/>
      <w:lvlText w:val="o"/>
      <w:lvlJc w:val="left"/>
      <w:pPr>
        <w:ind w:left="6117" w:hanging="360"/>
      </w:pPr>
      <w:rPr>
        <w:rFonts w:ascii="Courier New" w:hAnsi="Courier New" w:cs="Courier New" w:hint="default"/>
      </w:rPr>
    </w:lvl>
    <w:lvl w:ilvl="8" w:tplc="04220005" w:tentative="1">
      <w:start w:val="1"/>
      <w:numFmt w:val="bullet"/>
      <w:lvlText w:val=""/>
      <w:lvlJc w:val="left"/>
      <w:pPr>
        <w:ind w:left="6837" w:hanging="360"/>
      </w:pPr>
      <w:rPr>
        <w:rFonts w:ascii="Wingdings" w:hAnsi="Wingdings" w:hint="default"/>
      </w:rPr>
    </w:lvl>
  </w:abstractNum>
  <w:abstractNum w:abstractNumId="7">
    <w:nsid w:val="0F1F4C06"/>
    <w:multiLevelType w:val="hybridMultilevel"/>
    <w:tmpl w:val="F244CD9A"/>
    <w:lvl w:ilvl="0" w:tplc="96BC10EE">
      <w:numFmt w:val="bullet"/>
      <w:lvlText w:val="-"/>
      <w:lvlJc w:val="left"/>
      <w:pPr>
        <w:ind w:left="927" w:hanging="360"/>
      </w:pPr>
      <w:rPr>
        <w:rFonts w:ascii="Arial Narrow" w:eastAsia="Times New Roman" w:hAnsi="Arial Narrow" w:hint="default"/>
      </w:rPr>
    </w:lvl>
    <w:lvl w:ilvl="1" w:tplc="04190003">
      <w:start w:val="1"/>
      <w:numFmt w:val="bullet"/>
      <w:lvlText w:val="o"/>
      <w:lvlJc w:val="left"/>
      <w:pPr>
        <w:ind w:left="1647" w:hanging="360"/>
      </w:pPr>
      <w:rPr>
        <w:rFonts w:ascii="Courier New" w:hAnsi="Courier New" w:hint="default"/>
      </w:rPr>
    </w:lvl>
    <w:lvl w:ilvl="2" w:tplc="04190005">
      <w:start w:val="1"/>
      <w:numFmt w:val="bullet"/>
      <w:lvlText w:val=""/>
      <w:lvlJc w:val="left"/>
      <w:pPr>
        <w:ind w:left="2367" w:hanging="360"/>
      </w:pPr>
      <w:rPr>
        <w:rFonts w:ascii="Wingdings" w:hAnsi="Wingdings" w:hint="default"/>
      </w:rPr>
    </w:lvl>
    <w:lvl w:ilvl="3" w:tplc="04190001">
      <w:start w:val="1"/>
      <w:numFmt w:val="bullet"/>
      <w:lvlText w:val=""/>
      <w:lvlJc w:val="left"/>
      <w:pPr>
        <w:ind w:left="3087" w:hanging="360"/>
      </w:pPr>
      <w:rPr>
        <w:rFonts w:ascii="Symbol" w:hAnsi="Symbol" w:hint="default"/>
      </w:rPr>
    </w:lvl>
    <w:lvl w:ilvl="4" w:tplc="04190003">
      <w:start w:val="1"/>
      <w:numFmt w:val="bullet"/>
      <w:lvlText w:val="o"/>
      <w:lvlJc w:val="left"/>
      <w:pPr>
        <w:ind w:left="3807" w:hanging="360"/>
      </w:pPr>
      <w:rPr>
        <w:rFonts w:ascii="Courier New" w:hAnsi="Courier New" w:hint="default"/>
      </w:rPr>
    </w:lvl>
    <w:lvl w:ilvl="5" w:tplc="04190005">
      <w:start w:val="1"/>
      <w:numFmt w:val="bullet"/>
      <w:lvlText w:val=""/>
      <w:lvlJc w:val="left"/>
      <w:pPr>
        <w:ind w:left="4527" w:hanging="360"/>
      </w:pPr>
      <w:rPr>
        <w:rFonts w:ascii="Wingdings" w:hAnsi="Wingdings" w:hint="default"/>
      </w:rPr>
    </w:lvl>
    <w:lvl w:ilvl="6" w:tplc="04190001">
      <w:start w:val="1"/>
      <w:numFmt w:val="bullet"/>
      <w:lvlText w:val=""/>
      <w:lvlJc w:val="left"/>
      <w:pPr>
        <w:ind w:left="5247" w:hanging="360"/>
      </w:pPr>
      <w:rPr>
        <w:rFonts w:ascii="Symbol" w:hAnsi="Symbol" w:hint="default"/>
      </w:rPr>
    </w:lvl>
    <w:lvl w:ilvl="7" w:tplc="04190003">
      <w:start w:val="1"/>
      <w:numFmt w:val="bullet"/>
      <w:lvlText w:val="o"/>
      <w:lvlJc w:val="left"/>
      <w:pPr>
        <w:ind w:left="5967" w:hanging="360"/>
      </w:pPr>
      <w:rPr>
        <w:rFonts w:ascii="Courier New" w:hAnsi="Courier New" w:hint="default"/>
      </w:rPr>
    </w:lvl>
    <w:lvl w:ilvl="8" w:tplc="04190005">
      <w:start w:val="1"/>
      <w:numFmt w:val="bullet"/>
      <w:lvlText w:val=""/>
      <w:lvlJc w:val="left"/>
      <w:pPr>
        <w:ind w:left="6687" w:hanging="360"/>
      </w:pPr>
      <w:rPr>
        <w:rFonts w:ascii="Wingdings" w:hAnsi="Wingdings" w:hint="default"/>
      </w:rPr>
    </w:lvl>
  </w:abstractNum>
  <w:abstractNum w:abstractNumId="8">
    <w:nsid w:val="106B0A56"/>
    <w:multiLevelType w:val="hybridMultilevel"/>
    <w:tmpl w:val="601C666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nsid w:val="124E7C56"/>
    <w:multiLevelType w:val="hybridMultilevel"/>
    <w:tmpl w:val="6AB669B4"/>
    <w:lvl w:ilvl="0" w:tplc="04220001">
      <w:start w:val="1"/>
      <w:numFmt w:val="bullet"/>
      <w:lvlText w:val=""/>
      <w:lvlJc w:val="left"/>
      <w:pPr>
        <w:ind w:left="1117" w:hanging="360"/>
      </w:pPr>
      <w:rPr>
        <w:rFonts w:ascii="Symbol" w:hAnsi="Symbol" w:hint="default"/>
      </w:rPr>
    </w:lvl>
    <w:lvl w:ilvl="1" w:tplc="04220003" w:tentative="1">
      <w:start w:val="1"/>
      <w:numFmt w:val="bullet"/>
      <w:lvlText w:val="o"/>
      <w:lvlJc w:val="left"/>
      <w:pPr>
        <w:ind w:left="1837" w:hanging="360"/>
      </w:pPr>
      <w:rPr>
        <w:rFonts w:ascii="Courier New" w:hAnsi="Courier New" w:cs="Courier New" w:hint="default"/>
      </w:rPr>
    </w:lvl>
    <w:lvl w:ilvl="2" w:tplc="04220005" w:tentative="1">
      <w:start w:val="1"/>
      <w:numFmt w:val="bullet"/>
      <w:lvlText w:val=""/>
      <w:lvlJc w:val="left"/>
      <w:pPr>
        <w:ind w:left="2557" w:hanging="360"/>
      </w:pPr>
      <w:rPr>
        <w:rFonts w:ascii="Wingdings" w:hAnsi="Wingdings" w:hint="default"/>
      </w:rPr>
    </w:lvl>
    <w:lvl w:ilvl="3" w:tplc="04220001" w:tentative="1">
      <w:start w:val="1"/>
      <w:numFmt w:val="bullet"/>
      <w:lvlText w:val=""/>
      <w:lvlJc w:val="left"/>
      <w:pPr>
        <w:ind w:left="3277" w:hanging="360"/>
      </w:pPr>
      <w:rPr>
        <w:rFonts w:ascii="Symbol" w:hAnsi="Symbol" w:hint="default"/>
      </w:rPr>
    </w:lvl>
    <w:lvl w:ilvl="4" w:tplc="04220003" w:tentative="1">
      <w:start w:val="1"/>
      <w:numFmt w:val="bullet"/>
      <w:lvlText w:val="o"/>
      <w:lvlJc w:val="left"/>
      <w:pPr>
        <w:ind w:left="3997" w:hanging="360"/>
      </w:pPr>
      <w:rPr>
        <w:rFonts w:ascii="Courier New" w:hAnsi="Courier New" w:cs="Courier New" w:hint="default"/>
      </w:rPr>
    </w:lvl>
    <w:lvl w:ilvl="5" w:tplc="04220005" w:tentative="1">
      <w:start w:val="1"/>
      <w:numFmt w:val="bullet"/>
      <w:lvlText w:val=""/>
      <w:lvlJc w:val="left"/>
      <w:pPr>
        <w:ind w:left="4717" w:hanging="360"/>
      </w:pPr>
      <w:rPr>
        <w:rFonts w:ascii="Wingdings" w:hAnsi="Wingdings" w:hint="default"/>
      </w:rPr>
    </w:lvl>
    <w:lvl w:ilvl="6" w:tplc="04220001" w:tentative="1">
      <w:start w:val="1"/>
      <w:numFmt w:val="bullet"/>
      <w:lvlText w:val=""/>
      <w:lvlJc w:val="left"/>
      <w:pPr>
        <w:ind w:left="5437" w:hanging="360"/>
      </w:pPr>
      <w:rPr>
        <w:rFonts w:ascii="Symbol" w:hAnsi="Symbol" w:hint="default"/>
      </w:rPr>
    </w:lvl>
    <w:lvl w:ilvl="7" w:tplc="04220003" w:tentative="1">
      <w:start w:val="1"/>
      <w:numFmt w:val="bullet"/>
      <w:lvlText w:val="o"/>
      <w:lvlJc w:val="left"/>
      <w:pPr>
        <w:ind w:left="6157" w:hanging="360"/>
      </w:pPr>
      <w:rPr>
        <w:rFonts w:ascii="Courier New" w:hAnsi="Courier New" w:cs="Courier New" w:hint="default"/>
      </w:rPr>
    </w:lvl>
    <w:lvl w:ilvl="8" w:tplc="04220005" w:tentative="1">
      <w:start w:val="1"/>
      <w:numFmt w:val="bullet"/>
      <w:lvlText w:val=""/>
      <w:lvlJc w:val="left"/>
      <w:pPr>
        <w:ind w:left="6877" w:hanging="360"/>
      </w:pPr>
      <w:rPr>
        <w:rFonts w:ascii="Wingdings" w:hAnsi="Wingdings" w:hint="default"/>
      </w:rPr>
    </w:lvl>
  </w:abstractNum>
  <w:abstractNum w:abstractNumId="10">
    <w:nsid w:val="13A2644D"/>
    <w:multiLevelType w:val="hybridMultilevel"/>
    <w:tmpl w:val="F322ECC4"/>
    <w:lvl w:ilvl="0" w:tplc="56EE6626">
      <w:start w:val="1"/>
      <w:numFmt w:val="russianLower"/>
      <w:lvlText w:val="%1)"/>
      <w:lvlJc w:val="left"/>
      <w:pPr>
        <w:tabs>
          <w:tab w:val="num" w:pos="1647"/>
        </w:tabs>
        <w:ind w:left="1647" w:hanging="567"/>
      </w:pPr>
      <w:rPr>
        <w:rFonts w:ascii="Times New Roman" w:hAnsi="Times New Roman" w:cs="Times New Roman" w:hint="default"/>
      </w:rPr>
    </w:lvl>
    <w:lvl w:ilvl="1" w:tplc="9CC23348">
      <w:start w:val="1"/>
      <w:numFmt w:val="bullet"/>
      <w:lvlText w:val=""/>
      <w:lvlJc w:val="left"/>
      <w:pPr>
        <w:tabs>
          <w:tab w:val="num" w:pos="1440"/>
        </w:tabs>
        <w:ind w:left="1440" w:hanging="360"/>
      </w:pPr>
      <w:rPr>
        <w:rFonts w:ascii="Symbol" w:hAnsi="Symbol" w:hint="default"/>
        <w:color w:val="auto"/>
        <w:lang w:val="ru-RU"/>
      </w:rPr>
    </w:lvl>
    <w:lvl w:ilvl="2" w:tplc="752A5A2C">
      <w:start w:val="2010"/>
      <w:numFmt w:val="decimal"/>
      <w:lvlText w:val="%3"/>
      <w:lvlJc w:val="left"/>
      <w:pPr>
        <w:tabs>
          <w:tab w:val="num" w:pos="2460"/>
        </w:tabs>
        <w:ind w:left="2460" w:hanging="48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17A53CD3"/>
    <w:multiLevelType w:val="hybridMultilevel"/>
    <w:tmpl w:val="52B6921A"/>
    <w:lvl w:ilvl="0" w:tplc="D4DA42CA">
      <w:numFmt w:val="bullet"/>
      <w:lvlText w:val="-"/>
      <w:lvlJc w:val="left"/>
      <w:pPr>
        <w:ind w:left="1080" w:hanging="360"/>
      </w:pPr>
      <w:rPr>
        <w:rFonts w:ascii="Times New Roman" w:eastAsia="Times New Roman" w:hAnsi="Times New Roman" w:cs="Times New Roman" w:hint="default"/>
        <w:w w:val="100"/>
        <w:sz w:val="22"/>
        <w:szCs w:val="22"/>
        <w:lang w:val="uk-UA" w:eastAsia="en-US" w:bidi="ar-SA"/>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nsid w:val="22DC0239"/>
    <w:multiLevelType w:val="hybridMultilevel"/>
    <w:tmpl w:val="A4942934"/>
    <w:lvl w:ilvl="0" w:tplc="EB9A1E02">
      <w:start w:val="1"/>
      <w:numFmt w:val="decimal"/>
      <w:lvlText w:val="%1)"/>
      <w:lvlJc w:val="left"/>
      <w:pPr>
        <w:ind w:left="1068" w:hanging="360"/>
      </w:pPr>
      <w:rPr>
        <w:rFonts w:cs="Times New Roman" w:hint="default"/>
      </w:rPr>
    </w:lvl>
    <w:lvl w:ilvl="1" w:tplc="04220019">
      <w:start w:val="1"/>
      <w:numFmt w:val="lowerLetter"/>
      <w:lvlText w:val="%2."/>
      <w:lvlJc w:val="left"/>
      <w:pPr>
        <w:ind w:left="1788" w:hanging="360"/>
      </w:pPr>
      <w:rPr>
        <w:rFonts w:cs="Times New Roman"/>
      </w:rPr>
    </w:lvl>
    <w:lvl w:ilvl="2" w:tplc="0422001B">
      <w:start w:val="1"/>
      <w:numFmt w:val="lowerRoman"/>
      <w:lvlText w:val="%3."/>
      <w:lvlJc w:val="right"/>
      <w:pPr>
        <w:ind w:left="2508" w:hanging="180"/>
      </w:pPr>
      <w:rPr>
        <w:rFonts w:cs="Times New Roman"/>
      </w:rPr>
    </w:lvl>
    <w:lvl w:ilvl="3" w:tplc="0422000F">
      <w:start w:val="1"/>
      <w:numFmt w:val="decimal"/>
      <w:lvlText w:val="%4."/>
      <w:lvlJc w:val="left"/>
      <w:pPr>
        <w:ind w:left="3228" w:hanging="360"/>
      </w:pPr>
      <w:rPr>
        <w:rFonts w:cs="Times New Roman"/>
      </w:rPr>
    </w:lvl>
    <w:lvl w:ilvl="4" w:tplc="04220019">
      <w:start w:val="1"/>
      <w:numFmt w:val="lowerLetter"/>
      <w:lvlText w:val="%5."/>
      <w:lvlJc w:val="left"/>
      <w:pPr>
        <w:ind w:left="3948" w:hanging="360"/>
      </w:pPr>
      <w:rPr>
        <w:rFonts w:cs="Times New Roman"/>
      </w:rPr>
    </w:lvl>
    <w:lvl w:ilvl="5" w:tplc="0422001B">
      <w:start w:val="1"/>
      <w:numFmt w:val="lowerRoman"/>
      <w:lvlText w:val="%6."/>
      <w:lvlJc w:val="right"/>
      <w:pPr>
        <w:ind w:left="4668" w:hanging="180"/>
      </w:pPr>
      <w:rPr>
        <w:rFonts w:cs="Times New Roman"/>
      </w:rPr>
    </w:lvl>
    <w:lvl w:ilvl="6" w:tplc="0422000F">
      <w:start w:val="1"/>
      <w:numFmt w:val="decimal"/>
      <w:lvlText w:val="%7."/>
      <w:lvlJc w:val="left"/>
      <w:pPr>
        <w:ind w:left="5388" w:hanging="360"/>
      </w:pPr>
      <w:rPr>
        <w:rFonts w:cs="Times New Roman"/>
      </w:rPr>
    </w:lvl>
    <w:lvl w:ilvl="7" w:tplc="04220019">
      <w:start w:val="1"/>
      <w:numFmt w:val="lowerLetter"/>
      <w:lvlText w:val="%8."/>
      <w:lvlJc w:val="left"/>
      <w:pPr>
        <w:ind w:left="6108" w:hanging="360"/>
      </w:pPr>
      <w:rPr>
        <w:rFonts w:cs="Times New Roman"/>
      </w:rPr>
    </w:lvl>
    <w:lvl w:ilvl="8" w:tplc="0422001B">
      <w:start w:val="1"/>
      <w:numFmt w:val="lowerRoman"/>
      <w:lvlText w:val="%9."/>
      <w:lvlJc w:val="right"/>
      <w:pPr>
        <w:ind w:left="6828" w:hanging="180"/>
      </w:pPr>
      <w:rPr>
        <w:rFonts w:cs="Times New Roman"/>
      </w:rPr>
    </w:lvl>
  </w:abstractNum>
  <w:abstractNum w:abstractNumId="13">
    <w:nsid w:val="2B54000C"/>
    <w:multiLevelType w:val="hybridMultilevel"/>
    <w:tmpl w:val="CD026CFE"/>
    <w:lvl w:ilvl="0" w:tplc="6688C50A">
      <w:start w:val="17"/>
      <w:numFmt w:val="decimal"/>
      <w:lvlText w:val="%1."/>
      <w:lvlJc w:val="left"/>
      <w:pPr>
        <w:ind w:left="1680" w:hanging="360"/>
      </w:pPr>
      <w:rPr>
        <w:rFonts w:cs="Times New Roman" w:hint="default"/>
      </w:rPr>
    </w:lvl>
    <w:lvl w:ilvl="1" w:tplc="04190019">
      <w:start w:val="1"/>
      <w:numFmt w:val="lowerLetter"/>
      <w:lvlText w:val="%2."/>
      <w:lvlJc w:val="left"/>
      <w:pPr>
        <w:ind w:left="2400" w:hanging="360"/>
      </w:pPr>
      <w:rPr>
        <w:rFonts w:cs="Times New Roman"/>
      </w:rPr>
    </w:lvl>
    <w:lvl w:ilvl="2" w:tplc="0419001B">
      <w:start w:val="1"/>
      <w:numFmt w:val="lowerRoman"/>
      <w:lvlText w:val="%3."/>
      <w:lvlJc w:val="right"/>
      <w:pPr>
        <w:ind w:left="3120" w:hanging="180"/>
      </w:pPr>
      <w:rPr>
        <w:rFonts w:cs="Times New Roman"/>
      </w:rPr>
    </w:lvl>
    <w:lvl w:ilvl="3" w:tplc="0419000F">
      <w:start w:val="1"/>
      <w:numFmt w:val="decimal"/>
      <w:lvlText w:val="%4."/>
      <w:lvlJc w:val="left"/>
      <w:pPr>
        <w:ind w:left="3840" w:hanging="360"/>
      </w:pPr>
      <w:rPr>
        <w:rFonts w:cs="Times New Roman"/>
      </w:rPr>
    </w:lvl>
    <w:lvl w:ilvl="4" w:tplc="04190019">
      <w:start w:val="1"/>
      <w:numFmt w:val="lowerLetter"/>
      <w:lvlText w:val="%5."/>
      <w:lvlJc w:val="left"/>
      <w:pPr>
        <w:ind w:left="4560" w:hanging="360"/>
      </w:pPr>
      <w:rPr>
        <w:rFonts w:cs="Times New Roman"/>
      </w:rPr>
    </w:lvl>
    <w:lvl w:ilvl="5" w:tplc="0419001B">
      <w:start w:val="1"/>
      <w:numFmt w:val="lowerRoman"/>
      <w:lvlText w:val="%6."/>
      <w:lvlJc w:val="right"/>
      <w:pPr>
        <w:ind w:left="5280" w:hanging="180"/>
      </w:pPr>
      <w:rPr>
        <w:rFonts w:cs="Times New Roman"/>
      </w:rPr>
    </w:lvl>
    <w:lvl w:ilvl="6" w:tplc="0419000F">
      <w:start w:val="1"/>
      <w:numFmt w:val="decimal"/>
      <w:lvlText w:val="%7."/>
      <w:lvlJc w:val="left"/>
      <w:pPr>
        <w:ind w:left="6000" w:hanging="360"/>
      </w:pPr>
      <w:rPr>
        <w:rFonts w:cs="Times New Roman"/>
      </w:rPr>
    </w:lvl>
    <w:lvl w:ilvl="7" w:tplc="04190019">
      <w:start w:val="1"/>
      <w:numFmt w:val="lowerLetter"/>
      <w:lvlText w:val="%8."/>
      <w:lvlJc w:val="left"/>
      <w:pPr>
        <w:ind w:left="6720" w:hanging="360"/>
      </w:pPr>
      <w:rPr>
        <w:rFonts w:cs="Times New Roman"/>
      </w:rPr>
    </w:lvl>
    <w:lvl w:ilvl="8" w:tplc="0419001B">
      <w:start w:val="1"/>
      <w:numFmt w:val="lowerRoman"/>
      <w:lvlText w:val="%9."/>
      <w:lvlJc w:val="right"/>
      <w:pPr>
        <w:ind w:left="7440" w:hanging="180"/>
      </w:pPr>
      <w:rPr>
        <w:rFonts w:cs="Times New Roman"/>
      </w:rPr>
    </w:lvl>
  </w:abstractNum>
  <w:abstractNum w:abstractNumId="14">
    <w:nsid w:val="2DA668D6"/>
    <w:multiLevelType w:val="hybridMultilevel"/>
    <w:tmpl w:val="69ECF8B0"/>
    <w:lvl w:ilvl="0" w:tplc="17A0D268">
      <w:numFmt w:val="bullet"/>
      <w:lvlText w:val=""/>
      <w:lvlJc w:val="left"/>
      <w:pPr>
        <w:ind w:left="998" w:hanging="293"/>
      </w:pPr>
      <w:rPr>
        <w:rFonts w:ascii="Symbol" w:eastAsia="Symbol" w:hAnsi="Symbol" w:cs="Symbol" w:hint="default"/>
        <w:w w:val="99"/>
        <w:sz w:val="20"/>
        <w:szCs w:val="20"/>
        <w:lang w:val="uk-UA" w:eastAsia="en-US" w:bidi="ar-SA"/>
      </w:rPr>
    </w:lvl>
    <w:lvl w:ilvl="1" w:tplc="673031B4">
      <w:numFmt w:val="bullet"/>
      <w:lvlText w:val=""/>
      <w:lvlJc w:val="left"/>
      <w:pPr>
        <w:ind w:left="278" w:hanging="711"/>
      </w:pPr>
      <w:rPr>
        <w:rFonts w:ascii="Symbol" w:eastAsia="Symbol" w:hAnsi="Symbol" w:cs="Symbol" w:hint="default"/>
        <w:w w:val="99"/>
        <w:sz w:val="22"/>
        <w:szCs w:val="22"/>
        <w:lang w:val="uk-UA" w:eastAsia="en-US" w:bidi="ar-SA"/>
      </w:rPr>
    </w:lvl>
    <w:lvl w:ilvl="2" w:tplc="2F6A6E3A">
      <w:numFmt w:val="bullet"/>
      <w:lvlText w:val="•"/>
      <w:lvlJc w:val="left"/>
      <w:pPr>
        <w:ind w:left="2036" w:hanging="711"/>
      </w:pPr>
      <w:rPr>
        <w:rFonts w:hint="default"/>
        <w:lang w:val="uk-UA" w:eastAsia="en-US" w:bidi="ar-SA"/>
      </w:rPr>
    </w:lvl>
    <w:lvl w:ilvl="3" w:tplc="FFD2D946">
      <w:numFmt w:val="bullet"/>
      <w:lvlText w:val="•"/>
      <w:lvlJc w:val="left"/>
      <w:pPr>
        <w:ind w:left="3072" w:hanging="711"/>
      </w:pPr>
      <w:rPr>
        <w:rFonts w:hint="default"/>
        <w:lang w:val="uk-UA" w:eastAsia="en-US" w:bidi="ar-SA"/>
      </w:rPr>
    </w:lvl>
    <w:lvl w:ilvl="4" w:tplc="CCF2E972">
      <w:numFmt w:val="bullet"/>
      <w:lvlText w:val="•"/>
      <w:lvlJc w:val="left"/>
      <w:pPr>
        <w:ind w:left="4108" w:hanging="711"/>
      </w:pPr>
      <w:rPr>
        <w:rFonts w:hint="default"/>
        <w:lang w:val="uk-UA" w:eastAsia="en-US" w:bidi="ar-SA"/>
      </w:rPr>
    </w:lvl>
    <w:lvl w:ilvl="5" w:tplc="390A83D8">
      <w:numFmt w:val="bullet"/>
      <w:lvlText w:val="•"/>
      <w:lvlJc w:val="left"/>
      <w:pPr>
        <w:ind w:left="5145" w:hanging="711"/>
      </w:pPr>
      <w:rPr>
        <w:rFonts w:hint="default"/>
        <w:lang w:val="uk-UA" w:eastAsia="en-US" w:bidi="ar-SA"/>
      </w:rPr>
    </w:lvl>
    <w:lvl w:ilvl="6" w:tplc="9F4A42AC">
      <w:numFmt w:val="bullet"/>
      <w:lvlText w:val="•"/>
      <w:lvlJc w:val="left"/>
      <w:pPr>
        <w:ind w:left="6181" w:hanging="711"/>
      </w:pPr>
      <w:rPr>
        <w:rFonts w:hint="default"/>
        <w:lang w:val="uk-UA" w:eastAsia="en-US" w:bidi="ar-SA"/>
      </w:rPr>
    </w:lvl>
    <w:lvl w:ilvl="7" w:tplc="28D4CDE8">
      <w:numFmt w:val="bullet"/>
      <w:lvlText w:val="•"/>
      <w:lvlJc w:val="left"/>
      <w:pPr>
        <w:ind w:left="7217" w:hanging="711"/>
      </w:pPr>
      <w:rPr>
        <w:rFonts w:hint="default"/>
        <w:lang w:val="uk-UA" w:eastAsia="en-US" w:bidi="ar-SA"/>
      </w:rPr>
    </w:lvl>
    <w:lvl w:ilvl="8" w:tplc="E10AF498">
      <w:numFmt w:val="bullet"/>
      <w:lvlText w:val="•"/>
      <w:lvlJc w:val="left"/>
      <w:pPr>
        <w:ind w:left="8253" w:hanging="711"/>
      </w:pPr>
      <w:rPr>
        <w:rFonts w:hint="default"/>
        <w:lang w:val="uk-UA" w:eastAsia="en-US" w:bidi="ar-SA"/>
      </w:rPr>
    </w:lvl>
  </w:abstractNum>
  <w:abstractNum w:abstractNumId="15">
    <w:nsid w:val="315A0180"/>
    <w:multiLevelType w:val="hybridMultilevel"/>
    <w:tmpl w:val="D3700828"/>
    <w:lvl w:ilvl="0" w:tplc="821E4A8C">
      <w:start w:val="1"/>
      <w:numFmt w:val="russianLower"/>
      <w:lvlText w:val="%1)"/>
      <w:lvlJc w:val="left"/>
      <w:pPr>
        <w:ind w:left="1080" w:hanging="360"/>
      </w:pPr>
      <w:rPr>
        <w:rFonts w:hint="default"/>
      </w:rPr>
    </w:lvl>
    <w:lvl w:ilvl="1" w:tplc="CA3E57EC">
      <w:start w:val="1"/>
      <w:numFmt w:val="lowerRoman"/>
      <w:lvlText w:val="%2)"/>
      <w:lvlJc w:val="left"/>
      <w:pPr>
        <w:ind w:left="2160" w:hanging="720"/>
      </w:pPr>
      <w:rPr>
        <w:rFonts w:hint="default"/>
      </w:r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323B2F83"/>
    <w:multiLevelType w:val="hybridMultilevel"/>
    <w:tmpl w:val="DEA865E8"/>
    <w:lvl w:ilvl="0" w:tplc="C854D004">
      <w:start w:val="1"/>
      <w:numFmt w:val="bullet"/>
      <w:lvlText w:val="-"/>
      <w:lvlJc w:val="left"/>
      <w:pPr>
        <w:ind w:left="1068" w:hanging="360"/>
      </w:pPr>
      <w:rPr>
        <w:rFonts w:ascii="Times New Roman" w:eastAsia="Calibr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7">
    <w:nsid w:val="3B711728"/>
    <w:multiLevelType w:val="multilevel"/>
    <w:tmpl w:val="2A7AF6EE"/>
    <w:lvl w:ilvl="0">
      <w:start w:val="1"/>
      <w:numFmt w:val="bullet"/>
      <w:lvlText w:val="-"/>
      <w:lvlJc w:val="left"/>
      <w:pPr>
        <w:tabs>
          <w:tab w:val="num" w:pos="720"/>
        </w:tabs>
        <w:ind w:left="720" w:hanging="360"/>
      </w:pPr>
      <w:rPr>
        <w:rFonts w:ascii="Calibri" w:eastAsia="Times New Roman" w:hAnsi="Calibri"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0FD7B9F"/>
    <w:multiLevelType w:val="multilevel"/>
    <w:tmpl w:val="4B8236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nsid w:val="42DC4334"/>
    <w:multiLevelType w:val="multilevel"/>
    <w:tmpl w:val="12686142"/>
    <w:lvl w:ilvl="0">
      <w:start w:val="1"/>
      <w:numFmt w:val="decimal"/>
      <w:lvlText w:val="%1."/>
      <w:lvlJc w:val="left"/>
      <w:pPr>
        <w:ind w:left="1068" w:hanging="360"/>
      </w:pPr>
      <w:rPr>
        <w:rFonts w:cs="Times New Roman" w:hint="default"/>
      </w:rPr>
    </w:lvl>
    <w:lvl w:ilvl="1">
      <w:start w:val="1"/>
      <w:numFmt w:val="decimal"/>
      <w:isLgl/>
      <w:lvlText w:val="%1.%2."/>
      <w:lvlJc w:val="left"/>
      <w:pPr>
        <w:ind w:left="1068" w:hanging="360"/>
      </w:pPr>
      <w:rPr>
        <w:rFonts w:cs="Times New Roman" w:hint="default"/>
      </w:rPr>
    </w:lvl>
    <w:lvl w:ilvl="2">
      <w:start w:val="1"/>
      <w:numFmt w:val="decimal"/>
      <w:isLgl/>
      <w:lvlText w:val="%1.%2.%3."/>
      <w:lvlJc w:val="left"/>
      <w:pPr>
        <w:ind w:left="1428" w:hanging="720"/>
      </w:pPr>
      <w:rPr>
        <w:rFonts w:cs="Times New Roman" w:hint="default"/>
      </w:rPr>
    </w:lvl>
    <w:lvl w:ilvl="3">
      <w:start w:val="1"/>
      <w:numFmt w:val="decimal"/>
      <w:isLgl/>
      <w:lvlText w:val="%1.%2.%3.%4."/>
      <w:lvlJc w:val="left"/>
      <w:pPr>
        <w:ind w:left="1428" w:hanging="720"/>
      </w:pPr>
      <w:rPr>
        <w:rFonts w:cs="Times New Roman" w:hint="default"/>
      </w:rPr>
    </w:lvl>
    <w:lvl w:ilvl="4">
      <w:start w:val="1"/>
      <w:numFmt w:val="decimal"/>
      <w:isLgl/>
      <w:lvlText w:val="%1.%2.%3.%4.%5."/>
      <w:lvlJc w:val="left"/>
      <w:pPr>
        <w:ind w:left="1788" w:hanging="1080"/>
      </w:pPr>
      <w:rPr>
        <w:rFonts w:cs="Times New Roman" w:hint="default"/>
      </w:rPr>
    </w:lvl>
    <w:lvl w:ilvl="5">
      <w:start w:val="1"/>
      <w:numFmt w:val="decimal"/>
      <w:isLgl/>
      <w:lvlText w:val="%1.%2.%3.%4.%5.%6."/>
      <w:lvlJc w:val="left"/>
      <w:pPr>
        <w:ind w:left="1788" w:hanging="1080"/>
      </w:pPr>
      <w:rPr>
        <w:rFonts w:cs="Times New Roman" w:hint="default"/>
      </w:rPr>
    </w:lvl>
    <w:lvl w:ilvl="6">
      <w:start w:val="1"/>
      <w:numFmt w:val="decimal"/>
      <w:isLgl/>
      <w:lvlText w:val="%1.%2.%3.%4.%5.%6.%7."/>
      <w:lvlJc w:val="left"/>
      <w:pPr>
        <w:ind w:left="2148" w:hanging="1440"/>
      </w:pPr>
      <w:rPr>
        <w:rFonts w:cs="Times New Roman" w:hint="default"/>
      </w:rPr>
    </w:lvl>
    <w:lvl w:ilvl="7">
      <w:start w:val="1"/>
      <w:numFmt w:val="decimal"/>
      <w:isLgl/>
      <w:lvlText w:val="%1.%2.%3.%4.%5.%6.%7.%8."/>
      <w:lvlJc w:val="left"/>
      <w:pPr>
        <w:ind w:left="2148" w:hanging="1440"/>
      </w:pPr>
      <w:rPr>
        <w:rFonts w:cs="Times New Roman" w:hint="default"/>
      </w:rPr>
    </w:lvl>
    <w:lvl w:ilvl="8">
      <w:start w:val="1"/>
      <w:numFmt w:val="decimal"/>
      <w:isLgl/>
      <w:lvlText w:val="%1.%2.%3.%4.%5.%6.%7.%8.%9."/>
      <w:lvlJc w:val="left"/>
      <w:pPr>
        <w:ind w:left="2508" w:hanging="1800"/>
      </w:pPr>
      <w:rPr>
        <w:rFonts w:cs="Times New Roman" w:hint="default"/>
      </w:rPr>
    </w:lvl>
  </w:abstractNum>
  <w:abstractNum w:abstractNumId="20">
    <w:nsid w:val="5DEA15B2"/>
    <w:multiLevelType w:val="multilevel"/>
    <w:tmpl w:val="314825C6"/>
    <w:lvl w:ilvl="0">
      <w:start w:val="11"/>
      <w:numFmt w:val="decimal"/>
      <w:lvlText w:val="%1."/>
      <w:lvlJc w:val="left"/>
      <w:pPr>
        <w:ind w:left="1036" w:hanging="332"/>
        <w:jc w:val="right"/>
      </w:pPr>
      <w:rPr>
        <w:rFonts w:ascii="Times New Roman" w:eastAsia="Times New Roman" w:hAnsi="Times New Roman" w:cs="Times New Roman" w:hint="default"/>
        <w:b/>
        <w:bCs/>
        <w:w w:val="99"/>
        <w:sz w:val="22"/>
        <w:szCs w:val="22"/>
        <w:lang w:val="uk-UA" w:eastAsia="en-US" w:bidi="ar-SA"/>
      </w:rPr>
    </w:lvl>
    <w:lvl w:ilvl="1">
      <w:start w:val="1"/>
      <w:numFmt w:val="decimal"/>
      <w:lvlText w:val="%1.%2"/>
      <w:lvlJc w:val="left"/>
      <w:pPr>
        <w:ind w:left="1572" w:hanging="442"/>
      </w:pPr>
      <w:rPr>
        <w:rFonts w:ascii="Times New Roman" w:eastAsia="Times New Roman" w:hAnsi="Times New Roman" w:cs="Times New Roman" w:hint="default"/>
        <w:b/>
        <w:bCs/>
        <w:w w:val="99"/>
        <w:sz w:val="22"/>
        <w:szCs w:val="22"/>
        <w:lang w:val="uk-UA" w:eastAsia="en-US" w:bidi="ar-SA"/>
      </w:rPr>
    </w:lvl>
    <w:lvl w:ilvl="2">
      <w:numFmt w:val="bullet"/>
      <w:lvlText w:val="-"/>
      <w:lvlJc w:val="left"/>
      <w:pPr>
        <w:ind w:left="278" w:hanging="204"/>
      </w:pPr>
      <w:rPr>
        <w:rFonts w:ascii="Times New Roman" w:eastAsia="Times New Roman" w:hAnsi="Times New Roman" w:cs="Times New Roman" w:hint="default"/>
        <w:w w:val="100"/>
        <w:sz w:val="22"/>
        <w:szCs w:val="22"/>
        <w:lang w:val="uk-UA" w:eastAsia="en-US" w:bidi="ar-SA"/>
      </w:rPr>
    </w:lvl>
    <w:lvl w:ilvl="3">
      <w:numFmt w:val="bullet"/>
      <w:lvlText w:val="•"/>
      <w:lvlJc w:val="left"/>
      <w:pPr>
        <w:ind w:left="2673" w:hanging="204"/>
      </w:pPr>
      <w:rPr>
        <w:rFonts w:hint="default"/>
        <w:lang w:val="uk-UA" w:eastAsia="en-US" w:bidi="ar-SA"/>
      </w:rPr>
    </w:lvl>
    <w:lvl w:ilvl="4">
      <w:numFmt w:val="bullet"/>
      <w:lvlText w:val="•"/>
      <w:lvlJc w:val="left"/>
      <w:pPr>
        <w:ind w:left="3766" w:hanging="204"/>
      </w:pPr>
      <w:rPr>
        <w:rFonts w:hint="default"/>
        <w:lang w:val="uk-UA" w:eastAsia="en-US" w:bidi="ar-SA"/>
      </w:rPr>
    </w:lvl>
    <w:lvl w:ilvl="5">
      <w:numFmt w:val="bullet"/>
      <w:lvlText w:val="•"/>
      <w:lvlJc w:val="left"/>
      <w:pPr>
        <w:ind w:left="4859" w:hanging="204"/>
      </w:pPr>
      <w:rPr>
        <w:rFonts w:hint="default"/>
        <w:lang w:val="uk-UA" w:eastAsia="en-US" w:bidi="ar-SA"/>
      </w:rPr>
    </w:lvl>
    <w:lvl w:ilvl="6">
      <w:numFmt w:val="bullet"/>
      <w:lvlText w:val="•"/>
      <w:lvlJc w:val="left"/>
      <w:pPr>
        <w:ind w:left="5953" w:hanging="204"/>
      </w:pPr>
      <w:rPr>
        <w:rFonts w:hint="default"/>
        <w:lang w:val="uk-UA" w:eastAsia="en-US" w:bidi="ar-SA"/>
      </w:rPr>
    </w:lvl>
    <w:lvl w:ilvl="7">
      <w:numFmt w:val="bullet"/>
      <w:lvlText w:val="•"/>
      <w:lvlJc w:val="left"/>
      <w:pPr>
        <w:ind w:left="7046" w:hanging="204"/>
      </w:pPr>
      <w:rPr>
        <w:rFonts w:hint="default"/>
        <w:lang w:val="uk-UA" w:eastAsia="en-US" w:bidi="ar-SA"/>
      </w:rPr>
    </w:lvl>
    <w:lvl w:ilvl="8">
      <w:numFmt w:val="bullet"/>
      <w:lvlText w:val="•"/>
      <w:lvlJc w:val="left"/>
      <w:pPr>
        <w:ind w:left="8139" w:hanging="204"/>
      </w:pPr>
      <w:rPr>
        <w:rFonts w:hint="default"/>
        <w:lang w:val="uk-UA" w:eastAsia="en-US" w:bidi="ar-SA"/>
      </w:rPr>
    </w:lvl>
  </w:abstractNum>
  <w:abstractNum w:abstractNumId="21">
    <w:nsid w:val="66BD3506"/>
    <w:multiLevelType w:val="hybridMultilevel"/>
    <w:tmpl w:val="7B2A7AE2"/>
    <w:lvl w:ilvl="0" w:tplc="E7CAC7E0">
      <w:start w:val="6"/>
      <w:numFmt w:val="decimal"/>
      <w:lvlText w:val="%1."/>
      <w:lvlJc w:val="left"/>
      <w:pPr>
        <w:ind w:left="1320" w:hanging="360"/>
      </w:pPr>
      <w:rPr>
        <w:rFonts w:cs="Times New Roman" w:hint="default"/>
        <w:b/>
        <w:sz w:val="24"/>
      </w:rPr>
    </w:lvl>
    <w:lvl w:ilvl="1" w:tplc="04190019">
      <w:start w:val="1"/>
      <w:numFmt w:val="lowerLetter"/>
      <w:lvlText w:val="%2."/>
      <w:lvlJc w:val="left"/>
      <w:pPr>
        <w:ind w:left="2040" w:hanging="360"/>
      </w:pPr>
      <w:rPr>
        <w:rFonts w:cs="Times New Roman"/>
      </w:rPr>
    </w:lvl>
    <w:lvl w:ilvl="2" w:tplc="0419001B">
      <w:start w:val="1"/>
      <w:numFmt w:val="lowerRoman"/>
      <w:lvlText w:val="%3."/>
      <w:lvlJc w:val="right"/>
      <w:pPr>
        <w:ind w:left="2760" w:hanging="180"/>
      </w:pPr>
      <w:rPr>
        <w:rFonts w:cs="Times New Roman"/>
      </w:rPr>
    </w:lvl>
    <w:lvl w:ilvl="3" w:tplc="0419000F">
      <w:start w:val="1"/>
      <w:numFmt w:val="decimal"/>
      <w:lvlText w:val="%4."/>
      <w:lvlJc w:val="left"/>
      <w:pPr>
        <w:ind w:left="3480" w:hanging="360"/>
      </w:pPr>
      <w:rPr>
        <w:rFonts w:cs="Times New Roman"/>
      </w:rPr>
    </w:lvl>
    <w:lvl w:ilvl="4" w:tplc="04190019">
      <w:start w:val="1"/>
      <w:numFmt w:val="lowerLetter"/>
      <w:lvlText w:val="%5."/>
      <w:lvlJc w:val="left"/>
      <w:pPr>
        <w:ind w:left="4200" w:hanging="360"/>
      </w:pPr>
      <w:rPr>
        <w:rFonts w:cs="Times New Roman"/>
      </w:rPr>
    </w:lvl>
    <w:lvl w:ilvl="5" w:tplc="0419001B">
      <w:start w:val="1"/>
      <w:numFmt w:val="lowerRoman"/>
      <w:lvlText w:val="%6."/>
      <w:lvlJc w:val="right"/>
      <w:pPr>
        <w:ind w:left="4920" w:hanging="180"/>
      </w:pPr>
      <w:rPr>
        <w:rFonts w:cs="Times New Roman"/>
      </w:rPr>
    </w:lvl>
    <w:lvl w:ilvl="6" w:tplc="0419000F">
      <w:start w:val="1"/>
      <w:numFmt w:val="decimal"/>
      <w:lvlText w:val="%7."/>
      <w:lvlJc w:val="left"/>
      <w:pPr>
        <w:ind w:left="5640" w:hanging="360"/>
      </w:pPr>
      <w:rPr>
        <w:rFonts w:cs="Times New Roman"/>
      </w:rPr>
    </w:lvl>
    <w:lvl w:ilvl="7" w:tplc="04190019">
      <w:start w:val="1"/>
      <w:numFmt w:val="lowerLetter"/>
      <w:lvlText w:val="%8."/>
      <w:lvlJc w:val="left"/>
      <w:pPr>
        <w:ind w:left="6360" w:hanging="360"/>
      </w:pPr>
      <w:rPr>
        <w:rFonts w:cs="Times New Roman"/>
      </w:rPr>
    </w:lvl>
    <w:lvl w:ilvl="8" w:tplc="0419001B">
      <w:start w:val="1"/>
      <w:numFmt w:val="lowerRoman"/>
      <w:lvlText w:val="%9."/>
      <w:lvlJc w:val="right"/>
      <w:pPr>
        <w:ind w:left="7080" w:hanging="180"/>
      </w:pPr>
      <w:rPr>
        <w:rFonts w:cs="Times New Roman"/>
      </w:rPr>
    </w:lvl>
  </w:abstractNum>
  <w:abstractNum w:abstractNumId="22">
    <w:nsid w:val="69CD39DE"/>
    <w:multiLevelType w:val="multilevel"/>
    <w:tmpl w:val="AF6C66F0"/>
    <w:lvl w:ilvl="0">
      <w:start w:val="1"/>
      <w:numFmt w:val="decimal"/>
      <w:lvlText w:val="%1."/>
      <w:lvlJc w:val="left"/>
      <w:pPr>
        <w:ind w:left="927" w:hanging="360"/>
      </w:pPr>
      <w:rPr>
        <w:rFonts w:hint="default"/>
      </w:rPr>
    </w:lvl>
    <w:lvl w:ilvl="1">
      <w:start w:val="2"/>
      <w:numFmt w:val="decimal"/>
      <w:isLgl/>
      <w:lvlText w:val="%1.%2."/>
      <w:lvlJc w:val="left"/>
      <w:pPr>
        <w:ind w:left="987"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3">
    <w:nsid w:val="6C456485"/>
    <w:multiLevelType w:val="hybridMultilevel"/>
    <w:tmpl w:val="2D1E3C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B41768"/>
    <w:multiLevelType w:val="hybridMultilevel"/>
    <w:tmpl w:val="F0F48288"/>
    <w:lvl w:ilvl="0" w:tplc="7CBEEC54">
      <w:start w:val="8"/>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5">
    <w:nsid w:val="77B64A09"/>
    <w:multiLevelType w:val="multilevel"/>
    <w:tmpl w:val="12686142"/>
    <w:lvl w:ilvl="0">
      <w:start w:val="1"/>
      <w:numFmt w:val="decimal"/>
      <w:lvlText w:val="%1."/>
      <w:lvlJc w:val="left"/>
      <w:pPr>
        <w:ind w:left="1980" w:hanging="360"/>
      </w:pPr>
      <w:rPr>
        <w:rFonts w:cs="Times New Roman" w:hint="default"/>
      </w:rPr>
    </w:lvl>
    <w:lvl w:ilvl="1">
      <w:start w:val="1"/>
      <w:numFmt w:val="decimal"/>
      <w:isLgl/>
      <w:lvlText w:val="%1.%2."/>
      <w:lvlJc w:val="left"/>
      <w:pPr>
        <w:ind w:left="1260" w:hanging="360"/>
      </w:pPr>
      <w:rPr>
        <w:rFonts w:cs="Times New Roman" w:hint="default"/>
      </w:rPr>
    </w:lvl>
    <w:lvl w:ilvl="2">
      <w:start w:val="1"/>
      <w:numFmt w:val="decimal"/>
      <w:isLgl/>
      <w:lvlText w:val="%1.%2.%3."/>
      <w:lvlJc w:val="left"/>
      <w:pPr>
        <w:ind w:left="1428" w:hanging="720"/>
      </w:pPr>
      <w:rPr>
        <w:rFonts w:cs="Times New Roman" w:hint="default"/>
      </w:rPr>
    </w:lvl>
    <w:lvl w:ilvl="3">
      <w:start w:val="1"/>
      <w:numFmt w:val="decimal"/>
      <w:isLgl/>
      <w:lvlText w:val="%1.%2.%3.%4."/>
      <w:lvlJc w:val="left"/>
      <w:pPr>
        <w:ind w:left="1428" w:hanging="720"/>
      </w:pPr>
      <w:rPr>
        <w:rFonts w:cs="Times New Roman" w:hint="default"/>
      </w:rPr>
    </w:lvl>
    <w:lvl w:ilvl="4">
      <w:start w:val="1"/>
      <w:numFmt w:val="decimal"/>
      <w:isLgl/>
      <w:lvlText w:val="%1.%2.%3.%4.%5."/>
      <w:lvlJc w:val="left"/>
      <w:pPr>
        <w:ind w:left="1788" w:hanging="1080"/>
      </w:pPr>
      <w:rPr>
        <w:rFonts w:cs="Times New Roman" w:hint="default"/>
      </w:rPr>
    </w:lvl>
    <w:lvl w:ilvl="5">
      <w:start w:val="1"/>
      <w:numFmt w:val="decimal"/>
      <w:isLgl/>
      <w:lvlText w:val="%1.%2.%3.%4.%5.%6."/>
      <w:lvlJc w:val="left"/>
      <w:pPr>
        <w:ind w:left="1788" w:hanging="1080"/>
      </w:pPr>
      <w:rPr>
        <w:rFonts w:cs="Times New Roman" w:hint="default"/>
      </w:rPr>
    </w:lvl>
    <w:lvl w:ilvl="6">
      <w:start w:val="1"/>
      <w:numFmt w:val="decimal"/>
      <w:isLgl/>
      <w:lvlText w:val="%1.%2.%3.%4.%5.%6.%7."/>
      <w:lvlJc w:val="left"/>
      <w:pPr>
        <w:ind w:left="2148" w:hanging="1440"/>
      </w:pPr>
      <w:rPr>
        <w:rFonts w:cs="Times New Roman" w:hint="default"/>
      </w:rPr>
    </w:lvl>
    <w:lvl w:ilvl="7">
      <w:start w:val="1"/>
      <w:numFmt w:val="decimal"/>
      <w:isLgl/>
      <w:lvlText w:val="%1.%2.%3.%4.%5.%6.%7.%8."/>
      <w:lvlJc w:val="left"/>
      <w:pPr>
        <w:ind w:left="2148" w:hanging="1440"/>
      </w:pPr>
      <w:rPr>
        <w:rFonts w:cs="Times New Roman" w:hint="default"/>
      </w:rPr>
    </w:lvl>
    <w:lvl w:ilvl="8">
      <w:start w:val="1"/>
      <w:numFmt w:val="decimal"/>
      <w:isLgl/>
      <w:lvlText w:val="%1.%2.%3.%4.%5.%6.%7.%8.%9."/>
      <w:lvlJc w:val="left"/>
      <w:pPr>
        <w:ind w:left="2508" w:hanging="1800"/>
      </w:pPr>
      <w:rPr>
        <w:rFonts w:cs="Times New Roman" w:hint="default"/>
      </w:rPr>
    </w:lvl>
  </w:abstractNum>
  <w:abstractNum w:abstractNumId="26">
    <w:nsid w:val="7A9E4CB4"/>
    <w:multiLevelType w:val="hybridMultilevel"/>
    <w:tmpl w:val="CD4EC524"/>
    <w:lvl w:ilvl="0" w:tplc="2B48DE10">
      <w:numFmt w:val="bullet"/>
      <w:lvlText w:val="-"/>
      <w:lvlJc w:val="left"/>
      <w:pPr>
        <w:tabs>
          <w:tab w:val="num" w:pos="1068"/>
        </w:tabs>
        <w:ind w:left="1068" w:hanging="360"/>
      </w:pPr>
      <w:rPr>
        <w:rFonts w:ascii="Times New Roman" w:eastAsia="Times New Roman" w:hAnsi="Times New Roman" w:hint="default"/>
      </w:rPr>
    </w:lvl>
    <w:lvl w:ilvl="1" w:tplc="04190003">
      <w:start w:val="1"/>
      <w:numFmt w:val="bullet"/>
      <w:lvlText w:val="o"/>
      <w:lvlJc w:val="left"/>
      <w:pPr>
        <w:tabs>
          <w:tab w:val="num" w:pos="1788"/>
        </w:tabs>
        <w:ind w:left="1788" w:hanging="360"/>
      </w:pPr>
      <w:rPr>
        <w:rFonts w:ascii="Courier New" w:hAnsi="Courier New" w:hint="default"/>
      </w:rPr>
    </w:lvl>
    <w:lvl w:ilvl="2" w:tplc="04190005">
      <w:start w:val="1"/>
      <w:numFmt w:val="bullet"/>
      <w:lvlText w:val=""/>
      <w:lvlJc w:val="left"/>
      <w:pPr>
        <w:tabs>
          <w:tab w:val="num" w:pos="2508"/>
        </w:tabs>
        <w:ind w:left="2508" w:hanging="360"/>
      </w:pPr>
      <w:rPr>
        <w:rFonts w:ascii="Wingdings" w:hAnsi="Wingdings" w:hint="default"/>
      </w:rPr>
    </w:lvl>
    <w:lvl w:ilvl="3" w:tplc="04190001">
      <w:start w:val="1"/>
      <w:numFmt w:val="bullet"/>
      <w:lvlText w:val=""/>
      <w:lvlJc w:val="left"/>
      <w:pPr>
        <w:tabs>
          <w:tab w:val="num" w:pos="3228"/>
        </w:tabs>
        <w:ind w:left="3228" w:hanging="360"/>
      </w:pPr>
      <w:rPr>
        <w:rFonts w:ascii="Symbol" w:hAnsi="Symbol" w:hint="default"/>
      </w:rPr>
    </w:lvl>
    <w:lvl w:ilvl="4" w:tplc="04190003">
      <w:start w:val="1"/>
      <w:numFmt w:val="bullet"/>
      <w:lvlText w:val="o"/>
      <w:lvlJc w:val="left"/>
      <w:pPr>
        <w:tabs>
          <w:tab w:val="num" w:pos="3948"/>
        </w:tabs>
        <w:ind w:left="3948" w:hanging="360"/>
      </w:pPr>
      <w:rPr>
        <w:rFonts w:ascii="Courier New" w:hAnsi="Courier New" w:hint="default"/>
      </w:rPr>
    </w:lvl>
    <w:lvl w:ilvl="5" w:tplc="04190005">
      <w:start w:val="1"/>
      <w:numFmt w:val="bullet"/>
      <w:lvlText w:val=""/>
      <w:lvlJc w:val="left"/>
      <w:pPr>
        <w:tabs>
          <w:tab w:val="num" w:pos="4668"/>
        </w:tabs>
        <w:ind w:left="4668" w:hanging="360"/>
      </w:pPr>
      <w:rPr>
        <w:rFonts w:ascii="Wingdings" w:hAnsi="Wingdings" w:hint="default"/>
      </w:rPr>
    </w:lvl>
    <w:lvl w:ilvl="6" w:tplc="04190001">
      <w:start w:val="1"/>
      <w:numFmt w:val="bullet"/>
      <w:lvlText w:val=""/>
      <w:lvlJc w:val="left"/>
      <w:pPr>
        <w:tabs>
          <w:tab w:val="num" w:pos="5388"/>
        </w:tabs>
        <w:ind w:left="5388" w:hanging="360"/>
      </w:pPr>
      <w:rPr>
        <w:rFonts w:ascii="Symbol" w:hAnsi="Symbol" w:hint="default"/>
      </w:rPr>
    </w:lvl>
    <w:lvl w:ilvl="7" w:tplc="04190003">
      <w:start w:val="1"/>
      <w:numFmt w:val="bullet"/>
      <w:lvlText w:val="o"/>
      <w:lvlJc w:val="left"/>
      <w:pPr>
        <w:tabs>
          <w:tab w:val="num" w:pos="6108"/>
        </w:tabs>
        <w:ind w:left="6108" w:hanging="360"/>
      </w:pPr>
      <w:rPr>
        <w:rFonts w:ascii="Courier New" w:hAnsi="Courier New" w:hint="default"/>
      </w:rPr>
    </w:lvl>
    <w:lvl w:ilvl="8" w:tplc="04190005">
      <w:start w:val="1"/>
      <w:numFmt w:val="bullet"/>
      <w:lvlText w:val=""/>
      <w:lvlJc w:val="left"/>
      <w:pPr>
        <w:tabs>
          <w:tab w:val="num" w:pos="6828"/>
        </w:tabs>
        <w:ind w:left="6828" w:hanging="360"/>
      </w:pPr>
      <w:rPr>
        <w:rFonts w:ascii="Wingdings" w:hAnsi="Wingdings" w:hint="default"/>
      </w:rPr>
    </w:lvl>
  </w:abstractNum>
  <w:num w:numId="1">
    <w:abstractNumId w:val="24"/>
  </w:num>
  <w:num w:numId="2">
    <w:abstractNumId w:val="3"/>
  </w:num>
  <w:num w:numId="3">
    <w:abstractNumId w:val="12"/>
  </w:num>
  <w:num w:numId="4">
    <w:abstractNumId w:val="19"/>
  </w:num>
  <w:num w:numId="5">
    <w:abstractNumId w:val="26"/>
  </w:num>
  <w:num w:numId="6">
    <w:abstractNumId w:val="25"/>
  </w:num>
  <w:num w:numId="7">
    <w:abstractNumId w:val="5"/>
  </w:num>
  <w:num w:numId="8">
    <w:abstractNumId w:val="18"/>
  </w:num>
  <w:num w:numId="9">
    <w:abstractNumId w:val="0"/>
  </w:num>
  <w:num w:numId="10">
    <w:abstractNumId w:val="7"/>
  </w:num>
  <w:num w:numId="11">
    <w:abstractNumId w:val="21"/>
  </w:num>
  <w:num w:numId="12">
    <w:abstractNumId w:val="13"/>
  </w:num>
  <w:num w:numId="13">
    <w:abstractNumId w:val="2"/>
  </w:num>
  <w:num w:numId="14">
    <w:abstractNumId w:val="22"/>
  </w:num>
  <w:num w:numId="15">
    <w:abstractNumId w:val="10"/>
  </w:num>
  <w:num w:numId="16">
    <w:abstractNumId w:val="6"/>
  </w:num>
  <w:num w:numId="17">
    <w:abstractNumId w:val="9"/>
  </w:num>
  <w:num w:numId="18">
    <w:abstractNumId w:val="15"/>
  </w:num>
  <w:num w:numId="19">
    <w:abstractNumId w:val="4"/>
  </w:num>
  <w:num w:numId="20">
    <w:abstractNumId w:val="14"/>
  </w:num>
  <w:num w:numId="21">
    <w:abstractNumId w:val="23"/>
  </w:num>
  <w:num w:numId="22">
    <w:abstractNumId w:val="8"/>
  </w:num>
  <w:num w:numId="23">
    <w:abstractNumId w:val="11"/>
  </w:num>
  <w:num w:numId="24">
    <w:abstractNumId w:val="20"/>
  </w:num>
  <w:num w:numId="25">
    <w:abstractNumId w:val="1"/>
    <w:lvlOverride w:ilvl="0">
      <w:lvl w:ilvl="0">
        <w:numFmt w:val="bullet"/>
        <w:lvlText w:val="-"/>
        <w:legacy w:legacy="1" w:legacySpace="0" w:legacyIndent="336"/>
        <w:lvlJc w:val="left"/>
        <w:rPr>
          <w:rFonts w:ascii="Arial" w:hAnsi="Arial" w:hint="default"/>
        </w:rPr>
      </w:lvl>
    </w:lvlOverride>
  </w:num>
  <w:num w:numId="26">
    <w:abstractNumId w:val="16"/>
  </w:num>
  <w:num w:numId="27">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75"/>
  <w:embedSystemFonts/>
  <w:hideSpellingErrors/>
  <w:hideGrammaticalErrors/>
  <w:stylePaneFormatFilter w:val="3F01"/>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rsids>
    <w:rsidRoot w:val="0035379F"/>
    <w:rsid w:val="0000018E"/>
    <w:rsid w:val="000043E9"/>
    <w:rsid w:val="0000456D"/>
    <w:rsid w:val="000048E2"/>
    <w:rsid w:val="00004F0B"/>
    <w:rsid w:val="0000676B"/>
    <w:rsid w:val="000079E1"/>
    <w:rsid w:val="00007CE6"/>
    <w:rsid w:val="000110DD"/>
    <w:rsid w:val="0001439A"/>
    <w:rsid w:val="000145F9"/>
    <w:rsid w:val="00021C0F"/>
    <w:rsid w:val="00024F62"/>
    <w:rsid w:val="00030993"/>
    <w:rsid w:val="00031957"/>
    <w:rsid w:val="000338BA"/>
    <w:rsid w:val="00033C8D"/>
    <w:rsid w:val="00037194"/>
    <w:rsid w:val="000404E2"/>
    <w:rsid w:val="00042835"/>
    <w:rsid w:val="00043EE8"/>
    <w:rsid w:val="000458FB"/>
    <w:rsid w:val="0004738D"/>
    <w:rsid w:val="000476A3"/>
    <w:rsid w:val="000522A9"/>
    <w:rsid w:val="000567E1"/>
    <w:rsid w:val="00063C26"/>
    <w:rsid w:val="00064613"/>
    <w:rsid w:val="0006599C"/>
    <w:rsid w:val="00066ECE"/>
    <w:rsid w:val="00067602"/>
    <w:rsid w:val="00071829"/>
    <w:rsid w:val="00071D56"/>
    <w:rsid w:val="00075E8C"/>
    <w:rsid w:val="000775AF"/>
    <w:rsid w:val="00083386"/>
    <w:rsid w:val="00090369"/>
    <w:rsid w:val="00092C05"/>
    <w:rsid w:val="00093BB0"/>
    <w:rsid w:val="000942AD"/>
    <w:rsid w:val="000951B7"/>
    <w:rsid w:val="000952BE"/>
    <w:rsid w:val="000962C4"/>
    <w:rsid w:val="00096667"/>
    <w:rsid w:val="000A0E7C"/>
    <w:rsid w:val="000A1DFF"/>
    <w:rsid w:val="000A2B47"/>
    <w:rsid w:val="000A2EA2"/>
    <w:rsid w:val="000A5002"/>
    <w:rsid w:val="000A5FB4"/>
    <w:rsid w:val="000B0E24"/>
    <w:rsid w:val="000B121F"/>
    <w:rsid w:val="000B4B5E"/>
    <w:rsid w:val="000B6204"/>
    <w:rsid w:val="000C3D01"/>
    <w:rsid w:val="000C547E"/>
    <w:rsid w:val="000D05BF"/>
    <w:rsid w:val="000D4A4C"/>
    <w:rsid w:val="000D68A7"/>
    <w:rsid w:val="000E1BE8"/>
    <w:rsid w:val="000E2B80"/>
    <w:rsid w:val="000E4F70"/>
    <w:rsid w:val="000E504C"/>
    <w:rsid w:val="000E7019"/>
    <w:rsid w:val="000E76BB"/>
    <w:rsid w:val="000E7CBF"/>
    <w:rsid w:val="000F05F0"/>
    <w:rsid w:val="000F416A"/>
    <w:rsid w:val="000F45ED"/>
    <w:rsid w:val="000F4E7F"/>
    <w:rsid w:val="000F50C0"/>
    <w:rsid w:val="000F5EF5"/>
    <w:rsid w:val="001001C9"/>
    <w:rsid w:val="00100582"/>
    <w:rsid w:val="00101091"/>
    <w:rsid w:val="0010115C"/>
    <w:rsid w:val="00102D72"/>
    <w:rsid w:val="001032B6"/>
    <w:rsid w:val="00104850"/>
    <w:rsid w:val="00104EE5"/>
    <w:rsid w:val="001071AC"/>
    <w:rsid w:val="00112F2D"/>
    <w:rsid w:val="001137CD"/>
    <w:rsid w:val="00114A56"/>
    <w:rsid w:val="00114AC8"/>
    <w:rsid w:val="00114FA7"/>
    <w:rsid w:val="00120319"/>
    <w:rsid w:val="0012086F"/>
    <w:rsid w:val="001236FD"/>
    <w:rsid w:val="00124378"/>
    <w:rsid w:val="00127862"/>
    <w:rsid w:val="00130A2C"/>
    <w:rsid w:val="00130A97"/>
    <w:rsid w:val="001327D5"/>
    <w:rsid w:val="00133ACC"/>
    <w:rsid w:val="00133DC8"/>
    <w:rsid w:val="00133F21"/>
    <w:rsid w:val="00135208"/>
    <w:rsid w:val="001379C6"/>
    <w:rsid w:val="00137E8E"/>
    <w:rsid w:val="0014216F"/>
    <w:rsid w:val="001429C9"/>
    <w:rsid w:val="00144F71"/>
    <w:rsid w:val="00145F6F"/>
    <w:rsid w:val="00150AD2"/>
    <w:rsid w:val="0015233E"/>
    <w:rsid w:val="001546E9"/>
    <w:rsid w:val="00155D19"/>
    <w:rsid w:val="00157370"/>
    <w:rsid w:val="00160C84"/>
    <w:rsid w:val="001612C8"/>
    <w:rsid w:val="001633C9"/>
    <w:rsid w:val="00163FAE"/>
    <w:rsid w:val="00165B4D"/>
    <w:rsid w:val="00165F5F"/>
    <w:rsid w:val="00181011"/>
    <w:rsid w:val="00184A85"/>
    <w:rsid w:val="001858C0"/>
    <w:rsid w:val="001916CC"/>
    <w:rsid w:val="00192B9C"/>
    <w:rsid w:val="00192E51"/>
    <w:rsid w:val="001954E3"/>
    <w:rsid w:val="001A0410"/>
    <w:rsid w:val="001A214D"/>
    <w:rsid w:val="001A2643"/>
    <w:rsid w:val="001A3B41"/>
    <w:rsid w:val="001A51BA"/>
    <w:rsid w:val="001A5999"/>
    <w:rsid w:val="001B18F5"/>
    <w:rsid w:val="001B3025"/>
    <w:rsid w:val="001B3921"/>
    <w:rsid w:val="001B3CDA"/>
    <w:rsid w:val="001B3D5A"/>
    <w:rsid w:val="001B3E6B"/>
    <w:rsid w:val="001C0D94"/>
    <w:rsid w:val="001C11BA"/>
    <w:rsid w:val="001C479E"/>
    <w:rsid w:val="001C4992"/>
    <w:rsid w:val="001C5665"/>
    <w:rsid w:val="001D0DB3"/>
    <w:rsid w:val="001D2F7B"/>
    <w:rsid w:val="001E14AD"/>
    <w:rsid w:val="001E2967"/>
    <w:rsid w:val="001E30F5"/>
    <w:rsid w:val="001E4373"/>
    <w:rsid w:val="001E459F"/>
    <w:rsid w:val="001E7D04"/>
    <w:rsid w:val="001F0CDD"/>
    <w:rsid w:val="001F1C3F"/>
    <w:rsid w:val="001F2DB9"/>
    <w:rsid w:val="001F7D35"/>
    <w:rsid w:val="00200B85"/>
    <w:rsid w:val="0020448A"/>
    <w:rsid w:val="00205220"/>
    <w:rsid w:val="00211584"/>
    <w:rsid w:val="0021539A"/>
    <w:rsid w:val="00216830"/>
    <w:rsid w:val="00216AF0"/>
    <w:rsid w:val="00221A9F"/>
    <w:rsid w:val="00222126"/>
    <w:rsid w:val="002252B5"/>
    <w:rsid w:val="00226248"/>
    <w:rsid w:val="00231F81"/>
    <w:rsid w:val="00233A38"/>
    <w:rsid w:val="00233B3C"/>
    <w:rsid w:val="00236764"/>
    <w:rsid w:val="00240ADD"/>
    <w:rsid w:val="0024134E"/>
    <w:rsid w:val="00241D06"/>
    <w:rsid w:val="00244B2B"/>
    <w:rsid w:val="00245FDA"/>
    <w:rsid w:val="0025127F"/>
    <w:rsid w:val="0025345D"/>
    <w:rsid w:val="0025556A"/>
    <w:rsid w:val="00256006"/>
    <w:rsid w:val="002561FB"/>
    <w:rsid w:val="00256D3C"/>
    <w:rsid w:val="00257C2E"/>
    <w:rsid w:val="00257CB2"/>
    <w:rsid w:val="00257F2A"/>
    <w:rsid w:val="00263BB8"/>
    <w:rsid w:val="00265F3C"/>
    <w:rsid w:val="0026745A"/>
    <w:rsid w:val="00271DC9"/>
    <w:rsid w:val="00271E81"/>
    <w:rsid w:val="00273490"/>
    <w:rsid w:val="00274D6F"/>
    <w:rsid w:val="00275C51"/>
    <w:rsid w:val="00276C99"/>
    <w:rsid w:val="00277269"/>
    <w:rsid w:val="0027796B"/>
    <w:rsid w:val="00280A23"/>
    <w:rsid w:val="002810C9"/>
    <w:rsid w:val="0028172F"/>
    <w:rsid w:val="00282B53"/>
    <w:rsid w:val="0028425A"/>
    <w:rsid w:val="00284DB1"/>
    <w:rsid w:val="002856F4"/>
    <w:rsid w:val="00290500"/>
    <w:rsid w:val="0029058E"/>
    <w:rsid w:val="00290D4B"/>
    <w:rsid w:val="002961DA"/>
    <w:rsid w:val="002970DA"/>
    <w:rsid w:val="002A118C"/>
    <w:rsid w:val="002A2D6A"/>
    <w:rsid w:val="002A7C62"/>
    <w:rsid w:val="002B012E"/>
    <w:rsid w:val="002B3BAD"/>
    <w:rsid w:val="002C1315"/>
    <w:rsid w:val="002C2EE8"/>
    <w:rsid w:val="002C62C6"/>
    <w:rsid w:val="002D38FF"/>
    <w:rsid w:val="002D3EA8"/>
    <w:rsid w:val="002D5A7B"/>
    <w:rsid w:val="002D722E"/>
    <w:rsid w:val="002E09E0"/>
    <w:rsid w:val="002E155F"/>
    <w:rsid w:val="002E34EB"/>
    <w:rsid w:val="002E4AFB"/>
    <w:rsid w:val="002E6B4D"/>
    <w:rsid w:val="002E7A3B"/>
    <w:rsid w:val="002F01DE"/>
    <w:rsid w:val="002F0749"/>
    <w:rsid w:val="002F2240"/>
    <w:rsid w:val="002F24A8"/>
    <w:rsid w:val="002F37B7"/>
    <w:rsid w:val="002F4523"/>
    <w:rsid w:val="003008F6"/>
    <w:rsid w:val="00301ABE"/>
    <w:rsid w:val="003022F1"/>
    <w:rsid w:val="00302B9A"/>
    <w:rsid w:val="00306568"/>
    <w:rsid w:val="00307565"/>
    <w:rsid w:val="00307A16"/>
    <w:rsid w:val="00307C4E"/>
    <w:rsid w:val="0031005D"/>
    <w:rsid w:val="00311250"/>
    <w:rsid w:val="00311690"/>
    <w:rsid w:val="0031221B"/>
    <w:rsid w:val="0031325C"/>
    <w:rsid w:val="00314479"/>
    <w:rsid w:val="0031449E"/>
    <w:rsid w:val="0031783C"/>
    <w:rsid w:val="003178DD"/>
    <w:rsid w:val="00317936"/>
    <w:rsid w:val="003209C2"/>
    <w:rsid w:val="00320C65"/>
    <w:rsid w:val="00322605"/>
    <w:rsid w:val="003263DC"/>
    <w:rsid w:val="00327458"/>
    <w:rsid w:val="00330C80"/>
    <w:rsid w:val="00336548"/>
    <w:rsid w:val="003367AD"/>
    <w:rsid w:val="00341C6A"/>
    <w:rsid w:val="00342782"/>
    <w:rsid w:val="00342F84"/>
    <w:rsid w:val="003433CB"/>
    <w:rsid w:val="003439A5"/>
    <w:rsid w:val="00344177"/>
    <w:rsid w:val="003443EC"/>
    <w:rsid w:val="00344564"/>
    <w:rsid w:val="003447E5"/>
    <w:rsid w:val="00346D94"/>
    <w:rsid w:val="003471F5"/>
    <w:rsid w:val="00347901"/>
    <w:rsid w:val="00351CAE"/>
    <w:rsid w:val="00352B15"/>
    <w:rsid w:val="00352BB4"/>
    <w:rsid w:val="003536C1"/>
    <w:rsid w:val="0035379F"/>
    <w:rsid w:val="003553A1"/>
    <w:rsid w:val="00364D57"/>
    <w:rsid w:val="00371708"/>
    <w:rsid w:val="003743CC"/>
    <w:rsid w:val="003754BE"/>
    <w:rsid w:val="00375AD6"/>
    <w:rsid w:val="00375FD4"/>
    <w:rsid w:val="00376292"/>
    <w:rsid w:val="00382E3C"/>
    <w:rsid w:val="003835D8"/>
    <w:rsid w:val="00386388"/>
    <w:rsid w:val="00392060"/>
    <w:rsid w:val="003925EC"/>
    <w:rsid w:val="00397AFB"/>
    <w:rsid w:val="00397EDC"/>
    <w:rsid w:val="003A07BD"/>
    <w:rsid w:val="003A0A92"/>
    <w:rsid w:val="003A1373"/>
    <w:rsid w:val="003A2505"/>
    <w:rsid w:val="003A5D93"/>
    <w:rsid w:val="003A6C3E"/>
    <w:rsid w:val="003A6FFB"/>
    <w:rsid w:val="003A7BD9"/>
    <w:rsid w:val="003A7C75"/>
    <w:rsid w:val="003B10AA"/>
    <w:rsid w:val="003B2624"/>
    <w:rsid w:val="003B3EE5"/>
    <w:rsid w:val="003B40AE"/>
    <w:rsid w:val="003C06DD"/>
    <w:rsid w:val="003C2BC8"/>
    <w:rsid w:val="003C2BD9"/>
    <w:rsid w:val="003C4A1F"/>
    <w:rsid w:val="003C4CF4"/>
    <w:rsid w:val="003C4F45"/>
    <w:rsid w:val="003C6D2E"/>
    <w:rsid w:val="003C6D9D"/>
    <w:rsid w:val="003D1100"/>
    <w:rsid w:val="003D1AFB"/>
    <w:rsid w:val="003D2730"/>
    <w:rsid w:val="003D2C04"/>
    <w:rsid w:val="003D41C2"/>
    <w:rsid w:val="003D460B"/>
    <w:rsid w:val="003D7989"/>
    <w:rsid w:val="003E0370"/>
    <w:rsid w:val="003E1FF9"/>
    <w:rsid w:val="003E4515"/>
    <w:rsid w:val="003E742B"/>
    <w:rsid w:val="003E7439"/>
    <w:rsid w:val="003F0741"/>
    <w:rsid w:val="003F1014"/>
    <w:rsid w:val="003F7304"/>
    <w:rsid w:val="0040100C"/>
    <w:rsid w:val="004014E6"/>
    <w:rsid w:val="00401994"/>
    <w:rsid w:val="00405CF6"/>
    <w:rsid w:val="00406AB3"/>
    <w:rsid w:val="00407613"/>
    <w:rsid w:val="0041347B"/>
    <w:rsid w:val="004227C1"/>
    <w:rsid w:val="00426261"/>
    <w:rsid w:val="00430615"/>
    <w:rsid w:val="00431072"/>
    <w:rsid w:val="0043180D"/>
    <w:rsid w:val="00432295"/>
    <w:rsid w:val="00436E64"/>
    <w:rsid w:val="00437A5F"/>
    <w:rsid w:val="004405EA"/>
    <w:rsid w:val="00441A03"/>
    <w:rsid w:val="00441E20"/>
    <w:rsid w:val="00443837"/>
    <w:rsid w:val="00444254"/>
    <w:rsid w:val="004460B2"/>
    <w:rsid w:val="00446178"/>
    <w:rsid w:val="00446472"/>
    <w:rsid w:val="00447A14"/>
    <w:rsid w:val="00450BB4"/>
    <w:rsid w:val="00451C88"/>
    <w:rsid w:val="004536FE"/>
    <w:rsid w:val="00455190"/>
    <w:rsid w:val="00457458"/>
    <w:rsid w:val="0046465E"/>
    <w:rsid w:val="00464D52"/>
    <w:rsid w:val="0046670B"/>
    <w:rsid w:val="00466DEF"/>
    <w:rsid w:val="0046709C"/>
    <w:rsid w:val="00470A35"/>
    <w:rsid w:val="004716F1"/>
    <w:rsid w:val="00471AFA"/>
    <w:rsid w:val="00473C2A"/>
    <w:rsid w:val="00473C91"/>
    <w:rsid w:val="00475117"/>
    <w:rsid w:val="00477304"/>
    <w:rsid w:val="00477CA8"/>
    <w:rsid w:val="00480D4E"/>
    <w:rsid w:val="0049114D"/>
    <w:rsid w:val="004947E3"/>
    <w:rsid w:val="004973CC"/>
    <w:rsid w:val="004979D8"/>
    <w:rsid w:val="004A1E74"/>
    <w:rsid w:val="004A2434"/>
    <w:rsid w:val="004A31D6"/>
    <w:rsid w:val="004A4961"/>
    <w:rsid w:val="004A627A"/>
    <w:rsid w:val="004A6CA2"/>
    <w:rsid w:val="004B59B8"/>
    <w:rsid w:val="004B6A24"/>
    <w:rsid w:val="004C177B"/>
    <w:rsid w:val="004C34B3"/>
    <w:rsid w:val="004C4BDF"/>
    <w:rsid w:val="004C7826"/>
    <w:rsid w:val="004D0BAA"/>
    <w:rsid w:val="004D282E"/>
    <w:rsid w:val="004D3EC5"/>
    <w:rsid w:val="004D4A53"/>
    <w:rsid w:val="004D4B4F"/>
    <w:rsid w:val="004E03F2"/>
    <w:rsid w:val="004E2892"/>
    <w:rsid w:val="004E3C86"/>
    <w:rsid w:val="004E43DD"/>
    <w:rsid w:val="004E44B1"/>
    <w:rsid w:val="004E5AA7"/>
    <w:rsid w:val="004E71A9"/>
    <w:rsid w:val="004F1CA4"/>
    <w:rsid w:val="004F4735"/>
    <w:rsid w:val="004F54FF"/>
    <w:rsid w:val="004F7B3A"/>
    <w:rsid w:val="00502CCD"/>
    <w:rsid w:val="0051087D"/>
    <w:rsid w:val="00512A37"/>
    <w:rsid w:val="0051340F"/>
    <w:rsid w:val="005209CC"/>
    <w:rsid w:val="005221DC"/>
    <w:rsid w:val="00524AD6"/>
    <w:rsid w:val="00526994"/>
    <w:rsid w:val="005322E0"/>
    <w:rsid w:val="00534DA8"/>
    <w:rsid w:val="00535A29"/>
    <w:rsid w:val="005422BF"/>
    <w:rsid w:val="00551F5D"/>
    <w:rsid w:val="00553CBC"/>
    <w:rsid w:val="00554477"/>
    <w:rsid w:val="005602AB"/>
    <w:rsid w:val="00561256"/>
    <w:rsid w:val="00562E45"/>
    <w:rsid w:val="005640A1"/>
    <w:rsid w:val="00566C3C"/>
    <w:rsid w:val="00567FD5"/>
    <w:rsid w:val="005715CB"/>
    <w:rsid w:val="005719B8"/>
    <w:rsid w:val="005725B3"/>
    <w:rsid w:val="005754C6"/>
    <w:rsid w:val="005770D0"/>
    <w:rsid w:val="0057721B"/>
    <w:rsid w:val="0058021F"/>
    <w:rsid w:val="005803D6"/>
    <w:rsid w:val="00582C79"/>
    <w:rsid w:val="0058607A"/>
    <w:rsid w:val="00586954"/>
    <w:rsid w:val="0059051C"/>
    <w:rsid w:val="00592345"/>
    <w:rsid w:val="00592587"/>
    <w:rsid w:val="005945E8"/>
    <w:rsid w:val="00594866"/>
    <w:rsid w:val="00594A11"/>
    <w:rsid w:val="00596939"/>
    <w:rsid w:val="00597DEB"/>
    <w:rsid w:val="005A00C6"/>
    <w:rsid w:val="005A04F6"/>
    <w:rsid w:val="005A15D5"/>
    <w:rsid w:val="005A5F0D"/>
    <w:rsid w:val="005A7B72"/>
    <w:rsid w:val="005B0089"/>
    <w:rsid w:val="005B3933"/>
    <w:rsid w:val="005B3B6D"/>
    <w:rsid w:val="005B47C8"/>
    <w:rsid w:val="005B48D0"/>
    <w:rsid w:val="005C1D67"/>
    <w:rsid w:val="005C1F71"/>
    <w:rsid w:val="005C332E"/>
    <w:rsid w:val="005C39C4"/>
    <w:rsid w:val="005C4EE5"/>
    <w:rsid w:val="005C5E5E"/>
    <w:rsid w:val="005C7ECF"/>
    <w:rsid w:val="005D1C66"/>
    <w:rsid w:val="005D3DC5"/>
    <w:rsid w:val="005D46F5"/>
    <w:rsid w:val="005D5FB2"/>
    <w:rsid w:val="005D6534"/>
    <w:rsid w:val="005D6DCC"/>
    <w:rsid w:val="005D711B"/>
    <w:rsid w:val="005E025D"/>
    <w:rsid w:val="005E0BA0"/>
    <w:rsid w:val="005E1F07"/>
    <w:rsid w:val="005E4A54"/>
    <w:rsid w:val="005E61E5"/>
    <w:rsid w:val="005E6225"/>
    <w:rsid w:val="005E7515"/>
    <w:rsid w:val="005F26E0"/>
    <w:rsid w:val="005F3553"/>
    <w:rsid w:val="005F6685"/>
    <w:rsid w:val="00602FF3"/>
    <w:rsid w:val="00606633"/>
    <w:rsid w:val="00607189"/>
    <w:rsid w:val="0061038C"/>
    <w:rsid w:val="00611C98"/>
    <w:rsid w:val="00612915"/>
    <w:rsid w:val="00613E7C"/>
    <w:rsid w:val="00616A62"/>
    <w:rsid w:val="00617015"/>
    <w:rsid w:val="006170AB"/>
    <w:rsid w:val="00621E47"/>
    <w:rsid w:val="006229BC"/>
    <w:rsid w:val="00622A9E"/>
    <w:rsid w:val="00625782"/>
    <w:rsid w:val="00632249"/>
    <w:rsid w:val="00640060"/>
    <w:rsid w:val="00640FE7"/>
    <w:rsid w:val="00642CA2"/>
    <w:rsid w:val="0064447F"/>
    <w:rsid w:val="006476EC"/>
    <w:rsid w:val="006478C0"/>
    <w:rsid w:val="00650344"/>
    <w:rsid w:val="00652B5C"/>
    <w:rsid w:val="00655DAD"/>
    <w:rsid w:val="00656044"/>
    <w:rsid w:val="00660146"/>
    <w:rsid w:val="00660D82"/>
    <w:rsid w:val="00663753"/>
    <w:rsid w:val="00663769"/>
    <w:rsid w:val="006647B1"/>
    <w:rsid w:val="00664D56"/>
    <w:rsid w:val="006714E7"/>
    <w:rsid w:val="0067400D"/>
    <w:rsid w:val="006749C5"/>
    <w:rsid w:val="00675CA8"/>
    <w:rsid w:val="00677464"/>
    <w:rsid w:val="0068013B"/>
    <w:rsid w:val="00680208"/>
    <w:rsid w:val="00680CEF"/>
    <w:rsid w:val="00681E1F"/>
    <w:rsid w:val="00682C7F"/>
    <w:rsid w:val="00682CC0"/>
    <w:rsid w:val="00686E0F"/>
    <w:rsid w:val="00691B71"/>
    <w:rsid w:val="006946E0"/>
    <w:rsid w:val="006977EC"/>
    <w:rsid w:val="00697C12"/>
    <w:rsid w:val="006A0E53"/>
    <w:rsid w:val="006A3BDC"/>
    <w:rsid w:val="006A5778"/>
    <w:rsid w:val="006A7D54"/>
    <w:rsid w:val="006B1D13"/>
    <w:rsid w:val="006B21D4"/>
    <w:rsid w:val="006B279C"/>
    <w:rsid w:val="006B2804"/>
    <w:rsid w:val="006B32CE"/>
    <w:rsid w:val="006B3B55"/>
    <w:rsid w:val="006C12A9"/>
    <w:rsid w:val="006C1441"/>
    <w:rsid w:val="006C1AA9"/>
    <w:rsid w:val="006C3B80"/>
    <w:rsid w:val="006C669C"/>
    <w:rsid w:val="006C66D1"/>
    <w:rsid w:val="006D003B"/>
    <w:rsid w:val="006D205F"/>
    <w:rsid w:val="006D22E3"/>
    <w:rsid w:val="006D3996"/>
    <w:rsid w:val="006D4797"/>
    <w:rsid w:val="006D74C7"/>
    <w:rsid w:val="006D7876"/>
    <w:rsid w:val="006E20FE"/>
    <w:rsid w:val="006E4AFC"/>
    <w:rsid w:val="006E646B"/>
    <w:rsid w:val="006F1A06"/>
    <w:rsid w:val="006F1C74"/>
    <w:rsid w:val="006F3782"/>
    <w:rsid w:val="006F3BC4"/>
    <w:rsid w:val="006F7E77"/>
    <w:rsid w:val="00701C23"/>
    <w:rsid w:val="007023E6"/>
    <w:rsid w:val="007036CA"/>
    <w:rsid w:val="00706B61"/>
    <w:rsid w:val="00710B2C"/>
    <w:rsid w:val="00713FFC"/>
    <w:rsid w:val="0071428B"/>
    <w:rsid w:val="0071708B"/>
    <w:rsid w:val="0071740A"/>
    <w:rsid w:val="0072057E"/>
    <w:rsid w:val="00721174"/>
    <w:rsid w:val="00722BC7"/>
    <w:rsid w:val="00724953"/>
    <w:rsid w:val="00725ECB"/>
    <w:rsid w:val="007308C2"/>
    <w:rsid w:val="00732D50"/>
    <w:rsid w:val="00736D4A"/>
    <w:rsid w:val="00740ED4"/>
    <w:rsid w:val="00742CB3"/>
    <w:rsid w:val="00742F07"/>
    <w:rsid w:val="0074357C"/>
    <w:rsid w:val="00751907"/>
    <w:rsid w:val="00753373"/>
    <w:rsid w:val="00753507"/>
    <w:rsid w:val="0075685E"/>
    <w:rsid w:val="007568CB"/>
    <w:rsid w:val="00757248"/>
    <w:rsid w:val="007572C3"/>
    <w:rsid w:val="00757669"/>
    <w:rsid w:val="007600ED"/>
    <w:rsid w:val="007607CB"/>
    <w:rsid w:val="00761EA5"/>
    <w:rsid w:val="00762394"/>
    <w:rsid w:val="00763D3B"/>
    <w:rsid w:val="00764D5E"/>
    <w:rsid w:val="0076518E"/>
    <w:rsid w:val="00765535"/>
    <w:rsid w:val="00765DE1"/>
    <w:rsid w:val="007675C8"/>
    <w:rsid w:val="00767AD4"/>
    <w:rsid w:val="007703AE"/>
    <w:rsid w:val="00770B8F"/>
    <w:rsid w:val="00771A74"/>
    <w:rsid w:val="00773F87"/>
    <w:rsid w:val="007744D4"/>
    <w:rsid w:val="00775CA0"/>
    <w:rsid w:val="00780AB9"/>
    <w:rsid w:val="0078197E"/>
    <w:rsid w:val="00781AF8"/>
    <w:rsid w:val="00784A40"/>
    <w:rsid w:val="00785B3A"/>
    <w:rsid w:val="00786E32"/>
    <w:rsid w:val="00787258"/>
    <w:rsid w:val="00790589"/>
    <w:rsid w:val="00791D05"/>
    <w:rsid w:val="00793083"/>
    <w:rsid w:val="0079322A"/>
    <w:rsid w:val="00793413"/>
    <w:rsid w:val="007A2393"/>
    <w:rsid w:val="007A5C68"/>
    <w:rsid w:val="007B1B22"/>
    <w:rsid w:val="007B2C1A"/>
    <w:rsid w:val="007B5049"/>
    <w:rsid w:val="007B6EFF"/>
    <w:rsid w:val="007C0826"/>
    <w:rsid w:val="007D05A1"/>
    <w:rsid w:val="007D315E"/>
    <w:rsid w:val="007D6405"/>
    <w:rsid w:val="007E3B66"/>
    <w:rsid w:val="007E5812"/>
    <w:rsid w:val="007E7C37"/>
    <w:rsid w:val="007F0DF0"/>
    <w:rsid w:val="007F2C01"/>
    <w:rsid w:val="007F401E"/>
    <w:rsid w:val="007F6DC6"/>
    <w:rsid w:val="007F7718"/>
    <w:rsid w:val="007F7EE7"/>
    <w:rsid w:val="00801509"/>
    <w:rsid w:val="00801ABB"/>
    <w:rsid w:val="00802D6C"/>
    <w:rsid w:val="0080322B"/>
    <w:rsid w:val="008042B7"/>
    <w:rsid w:val="00804B22"/>
    <w:rsid w:val="00805392"/>
    <w:rsid w:val="00812E53"/>
    <w:rsid w:val="00814D1C"/>
    <w:rsid w:val="008224A6"/>
    <w:rsid w:val="0082289B"/>
    <w:rsid w:val="00823D56"/>
    <w:rsid w:val="00823E36"/>
    <w:rsid w:val="00824D88"/>
    <w:rsid w:val="008258AA"/>
    <w:rsid w:val="00825A8E"/>
    <w:rsid w:val="00827B24"/>
    <w:rsid w:val="00830313"/>
    <w:rsid w:val="00830FD7"/>
    <w:rsid w:val="00831C0F"/>
    <w:rsid w:val="00833933"/>
    <w:rsid w:val="00840289"/>
    <w:rsid w:val="00841BA3"/>
    <w:rsid w:val="0084503E"/>
    <w:rsid w:val="00846581"/>
    <w:rsid w:val="00847BE3"/>
    <w:rsid w:val="00850056"/>
    <w:rsid w:val="00850A8F"/>
    <w:rsid w:val="0085173A"/>
    <w:rsid w:val="00854382"/>
    <w:rsid w:val="00857B37"/>
    <w:rsid w:val="008652D4"/>
    <w:rsid w:val="008665F7"/>
    <w:rsid w:val="008678ED"/>
    <w:rsid w:val="00870E26"/>
    <w:rsid w:val="0087207C"/>
    <w:rsid w:val="008726A5"/>
    <w:rsid w:val="00873CF7"/>
    <w:rsid w:val="008744AB"/>
    <w:rsid w:val="0087472D"/>
    <w:rsid w:val="008768BE"/>
    <w:rsid w:val="00887447"/>
    <w:rsid w:val="0088780B"/>
    <w:rsid w:val="00893C8D"/>
    <w:rsid w:val="00895722"/>
    <w:rsid w:val="00896750"/>
    <w:rsid w:val="008B011D"/>
    <w:rsid w:val="008B0727"/>
    <w:rsid w:val="008B0BCD"/>
    <w:rsid w:val="008B3DC4"/>
    <w:rsid w:val="008B4458"/>
    <w:rsid w:val="008B5EBC"/>
    <w:rsid w:val="008B609D"/>
    <w:rsid w:val="008B7C73"/>
    <w:rsid w:val="008C00B5"/>
    <w:rsid w:val="008C0D8F"/>
    <w:rsid w:val="008C13EF"/>
    <w:rsid w:val="008C43EB"/>
    <w:rsid w:val="008C5A5A"/>
    <w:rsid w:val="008C694D"/>
    <w:rsid w:val="008D4B0E"/>
    <w:rsid w:val="008D6BC8"/>
    <w:rsid w:val="008E3D49"/>
    <w:rsid w:val="008E3E96"/>
    <w:rsid w:val="008E633C"/>
    <w:rsid w:val="008E7590"/>
    <w:rsid w:val="008E7A07"/>
    <w:rsid w:val="008F0CB9"/>
    <w:rsid w:val="008F2611"/>
    <w:rsid w:val="008F5CBB"/>
    <w:rsid w:val="008F6C3B"/>
    <w:rsid w:val="008F6FD8"/>
    <w:rsid w:val="00901708"/>
    <w:rsid w:val="009038E9"/>
    <w:rsid w:val="00903E1A"/>
    <w:rsid w:val="00904816"/>
    <w:rsid w:val="009063A0"/>
    <w:rsid w:val="00906B9A"/>
    <w:rsid w:val="00910F0A"/>
    <w:rsid w:val="00912210"/>
    <w:rsid w:val="00912679"/>
    <w:rsid w:val="00913EAC"/>
    <w:rsid w:val="00916EDD"/>
    <w:rsid w:val="00917679"/>
    <w:rsid w:val="00917EC7"/>
    <w:rsid w:val="00917F86"/>
    <w:rsid w:val="00920512"/>
    <w:rsid w:val="00922A21"/>
    <w:rsid w:val="00926592"/>
    <w:rsid w:val="00926F56"/>
    <w:rsid w:val="00930A4F"/>
    <w:rsid w:val="009314C7"/>
    <w:rsid w:val="00936A45"/>
    <w:rsid w:val="00937DE6"/>
    <w:rsid w:val="00940AA2"/>
    <w:rsid w:val="00942009"/>
    <w:rsid w:val="00946AFD"/>
    <w:rsid w:val="0094721E"/>
    <w:rsid w:val="009507CD"/>
    <w:rsid w:val="00951BC5"/>
    <w:rsid w:val="00951E86"/>
    <w:rsid w:val="00955219"/>
    <w:rsid w:val="00964D2C"/>
    <w:rsid w:val="00967E8B"/>
    <w:rsid w:val="00970179"/>
    <w:rsid w:val="009740F2"/>
    <w:rsid w:val="00974708"/>
    <w:rsid w:val="00974D72"/>
    <w:rsid w:val="009750CD"/>
    <w:rsid w:val="00977A78"/>
    <w:rsid w:val="00981F57"/>
    <w:rsid w:val="00982037"/>
    <w:rsid w:val="009826F4"/>
    <w:rsid w:val="00983696"/>
    <w:rsid w:val="0098384D"/>
    <w:rsid w:val="00985100"/>
    <w:rsid w:val="00985876"/>
    <w:rsid w:val="00990212"/>
    <w:rsid w:val="00990437"/>
    <w:rsid w:val="00990EA6"/>
    <w:rsid w:val="00991010"/>
    <w:rsid w:val="0099119C"/>
    <w:rsid w:val="0099368C"/>
    <w:rsid w:val="00994673"/>
    <w:rsid w:val="00994EDD"/>
    <w:rsid w:val="009A04D8"/>
    <w:rsid w:val="009A30C8"/>
    <w:rsid w:val="009A3979"/>
    <w:rsid w:val="009A450E"/>
    <w:rsid w:val="009A507F"/>
    <w:rsid w:val="009A5360"/>
    <w:rsid w:val="009A7BEA"/>
    <w:rsid w:val="009A7FF2"/>
    <w:rsid w:val="009B1DCF"/>
    <w:rsid w:val="009B25B1"/>
    <w:rsid w:val="009B2AF1"/>
    <w:rsid w:val="009C0C0E"/>
    <w:rsid w:val="009C1B4E"/>
    <w:rsid w:val="009C4F84"/>
    <w:rsid w:val="009C5F72"/>
    <w:rsid w:val="009C5FE1"/>
    <w:rsid w:val="009C6282"/>
    <w:rsid w:val="009D05E1"/>
    <w:rsid w:val="009D488D"/>
    <w:rsid w:val="009D6272"/>
    <w:rsid w:val="009E2528"/>
    <w:rsid w:val="009E4633"/>
    <w:rsid w:val="009E746F"/>
    <w:rsid w:val="009F2F99"/>
    <w:rsid w:val="009F4247"/>
    <w:rsid w:val="009F5BB5"/>
    <w:rsid w:val="009F653C"/>
    <w:rsid w:val="009F6B84"/>
    <w:rsid w:val="00A00C87"/>
    <w:rsid w:val="00A02CF8"/>
    <w:rsid w:val="00A03E40"/>
    <w:rsid w:val="00A042F3"/>
    <w:rsid w:val="00A05051"/>
    <w:rsid w:val="00A055F0"/>
    <w:rsid w:val="00A075A4"/>
    <w:rsid w:val="00A10A11"/>
    <w:rsid w:val="00A20521"/>
    <w:rsid w:val="00A218C9"/>
    <w:rsid w:val="00A2485D"/>
    <w:rsid w:val="00A251B3"/>
    <w:rsid w:val="00A25642"/>
    <w:rsid w:val="00A31474"/>
    <w:rsid w:val="00A3453C"/>
    <w:rsid w:val="00A41C04"/>
    <w:rsid w:val="00A427BD"/>
    <w:rsid w:val="00A465B7"/>
    <w:rsid w:val="00A477FD"/>
    <w:rsid w:val="00A5038E"/>
    <w:rsid w:val="00A53271"/>
    <w:rsid w:val="00A54920"/>
    <w:rsid w:val="00A558A5"/>
    <w:rsid w:val="00A559DE"/>
    <w:rsid w:val="00A60BE5"/>
    <w:rsid w:val="00A638F2"/>
    <w:rsid w:val="00A640F2"/>
    <w:rsid w:val="00A65BCC"/>
    <w:rsid w:val="00A66745"/>
    <w:rsid w:val="00A66B59"/>
    <w:rsid w:val="00A7376A"/>
    <w:rsid w:val="00A766C6"/>
    <w:rsid w:val="00A83E00"/>
    <w:rsid w:val="00A83F79"/>
    <w:rsid w:val="00A85DB4"/>
    <w:rsid w:val="00A8766A"/>
    <w:rsid w:val="00A92C3B"/>
    <w:rsid w:val="00A93397"/>
    <w:rsid w:val="00A96AAC"/>
    <w:rsid w:val="00AA01BF"/>
    <w:rsid w:val="00AA1C10"/>
    <w:rsid w:val="00AA2502"/>
    <w:rsid w:val="00AA31BA"/>
    <w:rsid w:val="00AA3B1A"/>
    <w:rsid w:val="00AA3B27"/>
    <w:rsid w:val="00AA3F57"/>
    <w:rsid w:val="00AB18AC"/>
    <w:rsid w:val="00AB384F"/>
    <w:rsid w:val="00AB5672"/>
    <w:rsid w:val="00AB7E8A"/>
    <w:rsid w:val="00AC17D3"/>
    <w:rsid w:val="00AC2014"/>
    <w:rsid w:val="00AC23E6"/>
    <w:rsid w:val="00AC326E"/>
    <w:rsid w:val="00AD2473"/>
    <w:rsid w:val="00AD2782"/>
    <w:rsid w:val="00AD2A67"/>
    <w:rsid w:val="00AD32D3"/>
    <w:rsid w:val="00AD6CCA"/>
    <w:rsid w:val="00AD6EBE"/>
    <w:rsid w:val="00AD760D"/>
    <w:rsid w:val="00AE05C7"/>
    <w:rsid w:val="00AE0A21"/>
    <w:rsid w:val="00AE0CE2"/>
    <w:rsid w:val="00AE1896"/>
    <w:rsid w:val="00AE5478"/>
    <w:rsid w:val="00AE6A0C"/>
    <w:rsid w:val="00AF0D16"/>
    <w:rsid w:val="00AF3C0B"/>
    <w:rsid w:val="00AF4A75"/>
    <w:rsid w:val="00AF4F24"/>
    <w:rsid w:val="00B023CB"/>
    <w:rsid w:val="00B02D0A"/>
    <w:rsid w:val="00B02D2A"/>
    <w:rsid w:val="00B0648B"/>
    <w:rsid w:val="00B067A6"/>
    <w:rsid w:val="00B15842"/>
    <w:rsid w:val="00B17397"/>
    <w:rsid w:val="00B22AE4"/>
    <w:rsid w:val="00B23CCC"/>
    <w:rsid w:val="00B24600"/>
    <w:rsid w:val="00B25A0F"/>
    <w:rsid w:val="00B25DD6"/>
    <w:rsid w:val="00B310F5"/>
    <w:rsid w:val="00B31272"/>
    <w:rsid w:val="00B3177C"/>
    <w:rsid w:val="00B3188B"/>
    <w:rsid w:val="00B343C7"/>
    <w:rsid w:val="00B34550"/>
    <w:rsid w:val="00B360C9"/>
    <w:rsid w:val="00B36E0C"/>
    <w:rsid w:val="00B370CF"/>
    <w:rsid w:val="00B376A7"/>
    <w:rsid w:val="00B40455"/>
    <w:rsid w:val="00B4435E"/>
    <w:rsid w:val="00B5046C"/>
    <w:rsid w:val="00B532F2"/>
    <w:rsid w:val="00B53888"/>
    <w:rsid w:val="00B562E7"/>
    <w:rsid w:val="00B57E98"/>
    <w:rsid w:val="00B654F4"/>
    <w:rsid w:val="00B65A80"/>
    <w:rsid w:val="00B6682F"/>
    <w:rsid w:val="00B67C37"/>
    <w:rsid w:val="00B738B4"/>
    <w:rsid w:val="00B75293"/>
    <w:rsid w:val="00B75832"/>
    <w:rsid w:val="00B75F02"/>
    <w:rsid w:val="00B771A8"/>
    <w:rsid w:val="00B7756E"/>
    <w:rsid w:val="00B848C2"/>
    <w:rsid w:val="00B86B4C"/>
    <w:rsid w:val="00B90083"/>
    <w:rsid w:val="00B90B38"/>
    <w:rsid w:val="00B923BE"/>
    <w:rsid w:val="00B94421"/>
    <w:rsid w:val="00B9482E"/>
    <w:rsid w:val="00B950C8"/>
    <w:rsid w:val="00B9788A"/>
    <w:rsid w:val="00BA0C4E"/>
    <w:rsid w:val="00BA4209"/>
    <w:rsid w:val="00BA4EBE"/>
    <w:rsid w:val="00BA5F2D"/>
    <w:rsid w:val="00BA6892"/>
    <w:rsid w:val="00BB05A8"/>
    <w:rsid w:val="00BB07D0"/>
    <w:rsid w:val="00BB1110"/>
    <w:rsid w:val="00BB1835"/>
    <w:rsid w:val="00BB3C3A"/>
    <w:rsid w:val="00BB5110"/>
    <w:rsid w:val="00BB589B"/>
    <w:rsid w:val="00BB6DA6"/>
    <w:rsid w:val="00BC0376"/>
    <w:rsid w:val="00BC0BF4"/>
    <w:rsid w:val="00BC2A84"/>
    <w:rsid w:val="00BC2CF4"/>
    <w:rsid w:val="00BC39B2"/>
    <w:rsid w:val="00BC4BD4"/>
    <w:rsid w:val="00BC61C7"/>
    <w:rsid w:val="00BC63D9"/>
    <w:rsid w:val="00BC6AE2"/>
    <w:rsid w:val="00BD284F"/>
    <w:rsid w:val="00BD3624"/>
    <w:rsid w:val="00BD4C98"/>
    <w:rsid w:val="00BD5CCD"/>
    <w:rsid w:val="00BE0077"/>
    <w:rsid w:val="00BE325F"/>
    <w:rsid w:val="00BE374D"/>
    <w:rsid w:val="00BE41F5"/>
    <w:rsid w:val="00BE52EA"/>
    <w:rsid w:val="00BF286D"/>
    <w:rsid w:val="00BF4556"/>
    <w:rsid w:val="00BF4CDB"/>
    <w:rsid w:val="00BF688F"/>
    <w:rsid w:val="00C04729"/>
    <w:rsid w:val="00C057FA"/>
    <w:rsid w:val="00C07F8A"/>
    <w:rsid w:val="00C12817"/>
    <w:rsid w:val="00C13B58"/>
    <w:rsid w:val="00C14C41"/>
    <w:rsid w:val="00C1685C"/>
    <w:rsid w:val="00C17832"/>
    <w:rsid w:val="00C17FB4"/>
    <w:rsid w:val="00C237D6"/>
    <w:rsid w:val="00C23F75"/>
    <w:rsid w:val="00C241E1"/>
    <w:rsid w:val="00C256FF"/>
    <w:rsid w:val="00C3036D"/>
    <w:rsid w:val="00C309D7"/>
    <w:rsid w:val="00C320F8"/>
    <w:rsid w:val="00C324F3"/>
    <w:rsid w:val="00C33378"/>
    <w:rsid w:val="00C35783"/>
    <w:rsid w:val="00C36412"/>
    <w:rsid w:val="00C368A5"/>
    <w:rsid w:val="00C37ADD"/>
    <w:rsid w:val="00C40CF9"/>
    <w:rsid w:val="00C41B38"/>
    <w:rsid w:val="00C429BC"/>
    <w:rsid w:val="00C44E13"/>
    <w:rsid w:val="00C46F19"/>
    <w:rsid w:val="00C52156"/>
    <w:rsid w:val="00C52F5F"/>
    <w:rsid w:val="00C5328E"/>
    <w:rsid w:val="00C53841"/>
    <w:rsid w:val="00C54A11"/>
    <w:rsid w:val="00C550F3"/>
    <w:rsid w:val="00C559ED"/>
    <w:rsid w:val="00C63304"/>
    <w:rsid w:val="00C636C7"/>
    <w:rsid w:val="00C643F9"/>
    <w:rsid w:val="00C652CC"/>
    <w:rsid w:val="00C65834"/>
    <w:rsid w:val="00C70261"/>
    <w:rsid w:val="00C743C3"/>
    <w:rsid w:val="00C75367"/>
    <w:rsid w:val="00C76EA3"/>
    <w:rsid w:val="00C8485F"/>
    <w:rsid w:val="00C864C9"/>
    <w:rsid w:val="00C86E76"/>
    <w:rsid w:val="00C91C33"/>
    <w:rsid w:val="00C933A5"/>
    <w:rsid w:val="00C93A4D"/>
    <w:rsid w:val="00C95D32"/>
    <w:rsid w:val="00C95E76"/>
    <w:rsid w:val="00C96EDE"/>
    <w:rsid w:val="00CA0319"/>
    <w:rsid w:val="00CA07C8"/>
    <w:rsid w:val="00CB037A"/>
    <w:rsid w:val="00CB283A"/>
    <w:rsid w:val="00CB38DA"/>
    <w:rsid w:val="00CB4822"/>
    <w:rsid w:val="00CB4D32"/>
    <w:rsid w:val="00CC0836"/>
    <w:rsid w:val="00CC1C66"/>
    <w:rsid w:val="00CC2A0B"/>
    <w:rsid w:val="00CC2AFB"/>
    <w:rsid w:val="00CC3828"/>
    <w:rsid w:val="00CC3FDB"/>
    <w:rsid w:val="00CC488B"/>
    <w:rsid w:val="00CC490C"/>
    <w:rsid w:val="00CD05FD"/>
    <w:rsid w:val="00CD2881"/>
    <w:rsid w:val="00CE07DC"/>
    <w:rsid w:val="00CE2089"/>
    <w:rsid w:val="00CE2F18"/>
    <w:rsid w:val="00CE43DE"/>
    <w:rsid w:val="00CE4D0C"/>
    <w:rsid w:val="00CF06BB"/>
    <w:rsid w:val="00CF1518"/>
    <w:rsid w:val="00CF1918"/>
    <w:rsid w:val="00CF2A19"/>
    <w:rsid w:val="00CF2E2D"/>
    <w:rsid w:val="00CF336A"/>
    <w:rsid w:val="00CF5D8C"/>
    <w:rsid w:val="00D00216"/>
    <w:rsid w:val="00D010E6"/>
    <w:rsid w:val="00D052F3"/>
    <w:rsid w:val="00D069F8"/>
    <w:rsid w:val="00D11066"/>
    <w:rsid w:val="00D1381A"/>
    <w:rsid w:val="00D13B1A"/>
    <w:rsid w:val="00D14108"/>
    <w:rsid w:val="00D14516"/>
    <w:rsid w:val="00D146F0"/>
    <w:rsid w:val="00D14E46"/>
    <w:rsid w:val="00D234FE"/>
    <w:rsid w:val="00D2460C"/>
    <w:rsid w:val="00D25314"/>
    <w:rsid w:val="00D31C90"/>
    <w:rsid w:val="00D32D77"/>
    <w:rsid w:val="00D32F76"/>
    <w:rsid w:val="00D355C9"/>
    <w:rsid w:val="00D366BD"/>
    <w:rsid w:val="00D3689F"/>
    <w:rsid w:val="00D37EAE"/>
    <w:rsid w:val="00D4068B"/>
    <w:rsid w:val="00D4432D"/>
    <w:rsid w:val="00D45192"/>
    <w:rsid w:val="00D456FA"/>
    <w:rsid w:val="00D476B4"/>
    <w:rsid w:val="00D50B9A"/>
    <w:rsid w:val="00D524FE"/>
    <w:rsid w:val="00D55EE5"/>
    <w:rsid w:val="00D57385"/>
    <w:rsid w:val="00D57D0D"/>
    <w:rsid w:val="00D60654"/>
    <w:rsid w:val="00D6225E"/>
    <w:rsid w:val="00D625E1"/>
    <w:rsid w:val="00D65BE8"/>
    <w:rsid w:val="00D66974"/>
    <w:rsid w:val="00D66FC5"/>
    <w:rsid w:val="00D707A1"/>
    <w:rsid w:val="00D72F06"/>
    <w:rsid w:val="00D74FC9"/>
    <w:rsid w:val="00D76366"/>
    <w:rsid w:val="00D822A3"/>
    <w:rsid w:val="00D8413B"/>
    <w:rsid w:val="00D84897"/>
    <w:rsid w:val="00D873AC"/>
    <w:rsid w:val="00D93AC4"/>
    <w:rsid w:val="00D93F43"/>
    <w:rsid w:val="00D9421E"/>
    <w:rsid w:val="00D94FD3"/>
    <w:rsid w:val="00D96340"/>
    <w:rsid w:val="00D97DB5"/>
    <w:rsid w:val="00DA2308"/>
    <w:rsid w:val="00DA2C50"/>
    <w:rsid w:val="00DA4ACF"/>
    <w:rsid w:val="00DA4CC3"/>
    <w:rsid w:val="00DA4DC4"/>
    <w:rsid w:val="00DA536C"/>
    <w:rsid w:val="00DA53D9"/>
    <w:rsid w:val="00DB09B7"/>
    <w:rsid w:val="00DB1756"/>
    <w:rsid w:val="00DB1AF5"/>
    <w:rsid w:val="00DB3464"/>
    <w:rsid w:val="00DB4474"/>
    <w:rsid w:val="00DB71A9"/>
    <w:rsid w:val="00DC296D"/>
    <w:rsid w:val="00DC406E"/>
    <w:rsid w:val="00DC56B6"/>
    <w:rsid w:val="00DC739E"/>
    <w:rsid w:val="00DD04DD"/>
    <w:rsid w:val="00DD26DA"/>
    <w:rsid w:val="00DD45C7"/>
    <w:rsid w:val="00DD57A1"/>
    <w:rsid w:val="00DE0673"/>
    <w:rsid w:val="00DE57DC"/>
    <w:rsid w:val="00DE750D"/>
    <w:rsid w:val="00DE78CA"/>
    <w:rsid w:val="00DE78E1"/>
    <w:rsid w:val="00DF3045"/>
    <w:rsid w:val="00DF36B0"/>
    <w:rsid w:val="00DF7477"/>
    <w:rsid w:val="00E01A81"/>
    <w:rsid w:val="00E03C1D"/>
    <w:rsid w:val="00E04568"/>
    <w:rsid w:val="00E048A3"/>
    <w:rsid w:val="00E07E64"/>
    <w:rsid w:val="00E10141"/>
    <w:rsid w:val="00E12212"/>
    <w:rsid w:val="00E12A25"/>
    <w:rsid w:val="00E1312E"/>
    <w:rsid w:val="00E1694C"/>
    <w:rsid w:val="00E20F2D"/>
    <w:rsid w:val="00E23F3E"/>
    <w:rsid w:val="00E241A7"/>
    <w:rsid w:val="00E24681"/>
    <w:rsid w:val="00E25E82"/>
    <w:rsid w:val="00E31F9D"/>
    <w:rsid w:val="00E32E80"/>
    <w:rsid w:val="00E34C94"/>
    <w:rsid w:val="00E355BE"/>
    <w:rsid w:val="00E359EA"/>
    <w:rsid w:val="00E35AF7"/>
    <w:rsid w:val="00E41354"/>
    <w:rsid w:val="00E42B8A"/>
    <w:rsid w:val="00E430D2"/>
    <w:rsid w:val="00E44413"/>
    <w:rsid w:val="00E4704D"/>
    <w:rsid w:val="00E4716D"/>
    <w:rsid w:val="00E52514"/>
    <w:rsid w:val="00E57956"/>
    <w:rsid w:val="00E57A42"/>
    <w:rsid w:val="00E6195F"/>
    <w:rsid w:val="00E62AA8"/>
    <w:rsid w:val="00E630BE"/>
    <w:rsid w:val="00E64844"/>
    <w:rsid w:val="00E64EBC"/>
    <w:rsid w:val="00E66210"/>
    <w:rsid w:val="00E662AE"/>
    <w:rsid w:val="00E66358"/>
    <w:rsid w:val="00E70224"/>
    <w:rsid w:val="00E704D3"/>
    <w:rsid w:val="00E71AE0"/>
    <w:rsid w:val="00E735EA"/>
    <w:rsid w:val="00E7643B"/>
    <w:rsid w:val="00E77AC3"/>
    <w:rsid w:val="00E77B16"/>
    <w:rsid w:val="00E8027D"/>
    <w:rsid w:val="00E81483"/>
    <w:rsid w:val="00E84104"/>
    <w:rsid w:val="00E85666"/>
    <w:rsid w:val="00E86230"/>
    <w:rsid w:val="00E868AB"/>
    <w:rsid w:val="00E8710F"/>
    <w:rsid w:val="00E93E84"/>
    <w:rsid w:val="00EA36F0"/>
    <w:rsid w:val="00EA5D3E"/>
    <w:rsid w:val="00EA7DC6"/>
    <w:rsid w:val="00EB1D05"/>
    <w:rsid w:val="00EB6CF2"/>
    <w:rsid w:val="00EC0EB5"/>
    <w:rsid w:val="00EC5ECB"/>
    <w:rsid w:val="00EC75C5"/>
    <w:rsid w:val="00EC7E20"/>
    <w:rsid w:val="00EC7E72"/>
    <w:rsid w:val="00ED4504"/>
    <w:rsid w:val="00ED46A0"/>
    <w:rsid w:val="00EE2909"/>
    <w:rsid w:val="00EE29A1"/>
    <w:rsid w:val="00EE4FF2"/>
    <w:rsid w:val="00EE5611"/>
    <w:rsid w:val="00EF0A12"/>
    <w:rsid w:val="00EF175A"/>
    <w:rsid w:val="00EF229F"/>
    <w:rsid w:val="00EF3864"/>
    <w:rsid w:val="00EF38AD"/>
    <w:rsid w:val="00EF7EA1"/>
    <w:rsid w:val="00F004FE"/>
    <w:rsid w:val="00F00872"/>
    <w:rsid w:val="00F05F76"/>
    <w:rsid w:val="00F12868"/>
    <w:rsid w:val="00F141B1"/>
    <w:rsid w:val="00F14432"/>
    <w:rsid w:val="00F15609"/>
    <w:rsid w:val="00F2297F"/>
    <w:rsid w:val="00F25AE2"/>
    <w:rsid w:val="00F25FB2"/>
    <w:rsid w:val="00F25FCF"/>
    <w:rsid w:val="00F26FC8"/>
    <w:rsid w:val="00F276F0"/>
    <w:rsid w:val="00F309A3"/>
    <w:rsid w:val="00F41562"/>
    <w:rsid w:val="00F42FE6"/>
    <w:rsid w:val="00F45639"/>
    <w:rsid w:val="00F52B70"/>
    <w:rsid w:val="00F52E49"/>
    <w:rsid w:val="00F55EB9"/>
    <w:rsid w:val="00F60022"/>
    <w:rsid w:val="00F60210"/>
    <w:rsid w:val="00F60912"/>
    <w:rsid w:val="00F61969"/>
    <w:rsid w:val="00F64EB4"/>
    <w:rsid w:val="00F660B2"/>
    <w:rsid w:val="00F7144C"/>
    <w:rsid w:val="00F74705"/>
    <w:rsid w:val="00F74C59"/>
    <w:rsid w:val="00F828BE"/>
    <w:rsid w:val="00F90798"/>
    <w:rsid w:val="00F9196B"/>
    <w:rsid w:val="00F928AC"/>
    <w:rsid w:val="00F92A61"/>
    <w:rsid w:val="00FA4207"/>
    <w:rsid w:val="00FA675C"/>
    <w:rsid w:val="00FA7F72"/>
    <w:rsid w:val="00FB015D"/>
    <w:rsid w:val="00FB29A4"/>
    <w:rsid w:val="00FB461C"/>
    <w:rsid w:val="00FB55E9"/>
    <w:rsid w:val="00FC034C"/>
    <w:rsid w:val="00FC0A20"/>
    <w:rsid w:val="00FC22FE"/>
    <w:rsid w:val="00FC2C3C"/>
    <w:rsid w:val="00FC33BB"/>
    <w:rsid w:val="00FC360B"/>
    <w:rsid w:val="00FC37AE"/>
    <w:rsid w:val="00FC49DF"/>
    <w:rsid w:val="00FC565D"/>
    <w:rsid w:val="00FC7D78"/>
    <w:rsid w:val="00FD0861"/>
    <w:rsid w:val="00FD0C95"/>
    <w:rsid w:val="00FD2406"/>
    <w:rsid w:val="00FD2BF9"/>
    <w:rsid w:val="00FD47A2"/>
    <w:rsid w:val="00FD4919"/>
    <w:rsid w:val="00FE106A"/>
    <w:rsid w:val="00FE4DFD"/>
    <w:rsid w:val="00FF0817"/>
    <w:rsid w:val="00FF08C6"/>
    <w:rsid w:val="00FF25B5"/>
    <w:rsid w:val="00FF2C13"/>
    <w:rsid w:val="00FF55DA"/>
    <w:rsid w:val="00FF6B5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Hyperlink" w:uiPriority="99"/>
    <w:lsdException w:name="Strong" w:locked="1" w:uiPriority="22" w:qFormat="1"/>
    <w:lsdException w:name="Emphasis" w:locked="1" w:qFormat="1"/>
    <w:lsdException w:name="HTML Vari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032B6"/>
    <w:rPr>
      <w:sz w:val="24"/>
      <w:szCs w:val="24"/>
    </w:rPr>
  </w:style>
  <w:style w:type="paragraph" w:styleId="1">
    <w:name w:val="heading 1"/>
    <w:basedOn w:val="a"/>
    <w:next w:val="a"/>
    <w:link w:val="10"/>
    <w:qFormat/>
    <w:locked/>
    <w:rsid w:val="006F1C74"/>
    <w:pPr>
      <w:keepNext/>
      <w:spacing w:before="240" w:after="60"/>
      <w:outlineLvl w:val="0"/>
    </w:pPr>
    <w:rPr>
      <w:rFonts w:ascii="Cambria" w:hAnsi="Cambria"/>
      <w:b/>
      <w:bCs/>
      <w:kern w:val="32"/>
      <w:sz w:val="32"/>
      <w:szCs w:val="32"/>
    </w:rPr>
  </w:style>
  <w:style w:type="paragraph" w:styleId="3">
    <w:name w:val="heading 3"/>
    <w:basedOn w:val="a"/>
    <w:next w:val="a"/>
    <w:link w:val="30"/>
    <w:qFormat/>
    <w:rsid w:val="00B067A6"/>
    <w:pPr>
      <w:keepNext/>
      <w:jc w:val="center"/>
      <w:outlineLvl w:val="2"/>
    </w:pPr>
    <w:rPr>
      <w:rFonts w:eastAsia="Arial Unicode MS"/>
      <w:b/>
      <w:i/>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rsid w:val="0035379F"/>
    <w:pPr>
      <w:ind w:firstLine="283"/>
      <w:jc w:val="both"/>
    </w:pPr>
    <w:rPr>
      <w:color w:val="0000FF"/>
      <w:sz w:val="16"/>
      <w:szCs w:val="16"/>
      <w:lang w:val="uk-UA"/>
    </w:rPr>
  </w:style>
  <w:style w:type="table" w:styleId="a3">
    <w:name w:val="Table Grid"/>
    <w:basedOn w:val="a1"/>
    <w:rsid w:val="003537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
    <w:name w:val="Основной текст 2 Знак1"/>
    <w:aliases w:val="Основной текст 2 Знак Знак2,Основной текст 2 Знак Знак Знак"/>
    <w:link w:val="210"/>
    <w:locked/>
    <w:rsid w:val="0035379F"/>
    <w:rPr>
      <w:sz w:val="24"/>
      <w:lang w:val="ru-RU" w:eastAsia="ru-RU"/>
    </w:rPr>
  </w:style>
  <w:style w:type="paragraph" w:customStyle="1" w:styleId="210">
    <w:name w:val="Основной текст 21"/>
    <w:aliases w:val="Основной текст 2 Знак Знак"/>
    <w:basedOn w:val="a"/>
    <w:link w:val="21"/>
    <w:rsid w:val="0035379F"/>
    <w:pPr>
      <w:jc w:val="both"/>
    </w:pPr>
    <w:rPr>
      <w:szCs w:val="20"/>
    </w:rPr>
  </w:style>
  <w:style w:type="character" w:customStyle="1" w:styleId="longtext">
    <w:name w:val="long_text"/>
    <w:rsid w:val="0035379F"/>
  </w:style>
  <w:style w:type="character" w:customStyle="1" w:styleId="hps">
    <w:name w:val="hps"/>
    <w:rsid w:val="0035379F"/>
  </w:style>
  <w:style w:type="paragraph" w:customStyle="1" w:styleId="11">
    <w:name w:val="Абзац списка1"/>
    <w:basedOn w:val="a"/>
    <w:rsid w:val="0035379F"/>
    <w:pPr>
      <w:ind w:left="708"/>
    </w:pPr>
  </w:style>
  <w:style w:type="character" w:customStyle="1" w:styleId="30">
    <w:name w:val="Заголовок 3 Знак"/>
    <w:link w:val="3"/>
    <w:locked/>
    <w:rsid w:val="00B067A6"/>
    <w:rPr>
      <w:rFonts w:eastAsia="Arial Unicode MS"/>
      <w:b/>
      <w:i/>
      <w:sz w:val="24"/>
    </w:rPr>
  </w:style>
  <w:style w:type="table" w:customStyle="1" w:styleId="12">
    <w:name w:val="Обычная таблица1"/>
    <w:semiHidden/>
    <w:rsid w:val="00B067A6"/>
    <w:rPr>
      <w:lang w:val="uk-UA" w:eastAsia="uk-UA"/>
    </w:rPr>
    <w:tblPr>
      <w:tblCellMar>
        <w:top w:w="0" w:type="dxa"/>
        <w:left w:w="108" w:type="dxa"/>
        <w:bottom w:w="0" w:type="dxa"/>
        <w:right w:w="108" w:type="dxa"/>
      </w:tblCellMar>
    </w:tblPr>
  </w:style>
  <w:style w:type="character" w:customStyle="1" w:styleId="apple-converted-space">
    <w:name w:val="apple-converted-space"/>
    <w:rsid w:val="00B067A6"/>
  </w:style>
  <w:style w:type="paragraph" w:styleId="a4">
    <w:name w:val="Balloon Text"/>
    <w:basedOn w:val="a"/>
    <w:link w:val="a5"/>
    <w:semiHidden/>
    <w:rsid w:val="00974708"/>
    <w:rPr>
      <w:rFonts w:ascii="Tahoma" w:hAnsi="Tahoma"/>
      <w:sz w:val="16"/>
      <w:szCs w:val="20"/>
    </w:rPr>
  </w:style>
  <w:style w:type="character" w:customStyle="1" w:styleId="a5">
    <w:name w:val="Текст выноски Знак"/>
    <w:link w:val="a4"/>
    <w:locked/>
    <w:rsid w:val="00974708"/>
    <w:rPr>
      <w:rFonts w:ascii="Tahoma" w:hAnsi="Tahoma"/>
      <w:sz w:val="16"/>
      <w:lang w:val="ru-RU" w:eastAsia="ru-RU"/>
    </w:rPr>
  </w:style>
  <w:style w:type="character" w:customStyle="1" w:styleId="Bodytext">
    <w:name w:val="Body text_"/>
    <w:link w:val="13"/>
    <w:locked/>
    <w:rsid w:val="00BD5CCD"/>
    <w:rPr>
      <w:sz w:val="22"/>
      <w:shd w:val="clear" w:color="auto" w:fill="FFFFFF"/>
    </w:rPr>
  </w:style>
  <w:style w:type="paragraph" w:customStyle="1" w:styleId="13">
    <w:name w:val="Основний текст1"/>
    <w:basedOn w:val="a"/>
    <w:link w:val="Bodytext"/>
    <w:rsid w:val="00BD5CCD"/>
    <w:pPr>
      <w:shd w:val="clear" w:color="auto" w:fill="FFFFFF"/>
      <w:spacing w:after="480" w:line="240" w:lineRule="atLeast"/>
      <w:ind w:hanging="380"/>
    </w:pPr>
    <w:rPr>
      <w:sz w:val="22"/>
      <w:szCs w:val="20"/>
    </w:rPr>
  </w:style>
  <w:style w:type="paragraph" w:customStyle="1" w:styleId="14">
    <w:name w:val="Название1"/>
    <w:basedOn w:val="a"/>
    <w:next w:val="a6"/>
    <w:qFormat/>
    <w:rsid w:val="005D6534"/>
    <w:pPr>
      <w:suppressAutoHyphens/>
      <w:ind w:firstLine="540"/>
      <w:jc w:val="center"/>
    </w:pPr>
    <w:rPr>
      <w:b/>
      <w:bCs/>
      <w:lang w:val="uk-UA" w:eastAsia="ar-SA"/>
    </w:rPr>
  </w:style>
  <w:style w:type="paragraph" w:styleId="a6">
    <w:name w:val="Subtitle"/>
    <w:basedOn w:val="a"/>
    <w:qFormat/>
    <w:rsid w:val="005D6534"/>
    <w:pPr>
      <w:spacing w:after="60"/>
      <w:jc w:val="center"/>
      <w:outlineLvl w:val="1"/>
    </w:pPr>
    <w:rPr>
      <w:rFonts w:ascii="Arial" w:hAnsi="Arial" w:cs="Arial"/>
    </w:rPr>
  </w:style>
  <w:style w:type="paragraph" w:styleId="a7">
    <w:name w:val="Normal (Web)"/>
    <w:basedOn w:val="a"/>
    <w:rsid w:val="00D9421E"/>
    <w:pPr>
      <w:spacing w:before="100" w:beforeAutospacing="1" w:after="100" w:afterAutospacing="1"/>
    </w:pPr>
  </w:style>
  <w:style w:type="paragraph" w:customStyle="1" w:styleId="bodytext0">
    <w:name w:val="bodytext"/>
    <w:basedOn w:val="a"/>
    <w:rsid w:val="006A5778"/>
    <w:pPr>
      <w:spacing w:before="100" w:beforeAutospacing="1" w:after="100" w:afterAutospacing="1"/>
    </w:pPr>
    <w:rPr>
      <w:rFonts w:ascii="Verdana" w:hAnsi="Verdana"/>
      <w:color w:val="000000"/>
      <w:sz w:val="18"/>
      <w:szCs w:val="18"/>
    </w:rPr>
  </w:style>
  <w:style w:type="paragraph" w:styleId="a8">
    <w:name w:val="Body Text"/>
    <w:basedOn w:val="a"/>
    <w:link w:val="a9"/>
    <w:rsid w:val="0071428B"/>
    <w:pPr>
      <w:spacing w:after="120"/>
    </w:pPr>
    <w:rPr>
      <w:szCs w:val="20"/>
    </w:rPr>
  </w:style>
  <w:style w:type="character" w:customStyle="1" w:styleId="a9">
    <w:name w:val="Основной текст Знак"/>
    <w:link w:val="a8"/>
    <w:locked/>
    <w:rsid w:val="0071428B"/>
    <w:rPr>
      <w:sz w:val="24"/>
    </w:rPr>
  </w:style>
  <w:style w:type="paragraph" w:customStyle="1" w:styleId="ABC-paragrahinNotes">
    <w:name w:val="ABC - paragrah in Notes"/>
    <w:rsid w:val="0071428B"/>
    <w:pPr>
      <w:spacing w:after="240"/>
      <w:jc w:val="both"/>
    </w:pPr>
    <w:rPr>
      <w:rFonts w:ascii="Arial" w:hAnsi="Arial"/>
      <w:lang w:val="en-GB" w:eastAsia="uk-UA"/>
    </w:rPr>
  </w:style>
  <w:style w:type="character" w:customStyle="1" w:styleId="11Candara">
    <w:name w:val="Основной текст (11) + Candara"/>
    <w:aliases w:val="10 pt,Интервал -1 pt"/>
    <w:rsid w:val="000B4B5E"/>
    <w:rPr>
      <w:rFonts w:ascii="Candara" w:eastAsia="Times New Roman" w:hAnsi="Candara"/>
      <w:color w:val="000000"/>
      <w:spacing w:val="-20"/>
      <w:w w:val="100"/>
      <w:position w:val="0"/>
      <w:sz w:val="20"/>
      <w:u w:val="none"/>
      <w:lang w:val="ru-RU"/>
    </w:rPr>
  </w:style>
  <w:style w:type="character" w:customStyle="1" w:styleId="1110">
    <w:name w:val="Основной текст (11) + 10"/>
    <w:aliases w:val="5 pt"/>
    <w:rsid w:val="000B4B5E"/>
    <w:rPr>
      <w:rFonts w:ascii="Times New Roman" w:hAnsi="Times New Roman"/>
      <w:color w:val="000000"/>
      <w:spacing w:val="0"/>
      <w:w w:val="100"/>
      <w:position w:val="0"/>
      <w:sz w:val="21"/>
      <w:u w:val="none"/>
      <w:lang w:val="ru-RU"/>
    </w:rPr>
  </w:style>
  <w:style w:type="paragraph" w:customStyle="1" w:styleId="ABC-BulletsinNotes">
    <w:name w:val="ABC - Bullets in Notes"/>
    <w:rsid w:val="0025127F"/>
    <w:pPr>
      <w:tabs>
        <w:tab w:val="left" w:pos="851"/>
      </w:tabs>
      <w:spacing w:after="240"/>
      <w:ind w:left="1920" w:hanging="360"/>
      <w:jc w:val="both"/>
    </w:pPr>
    <w:rPr>
      <w:rFonts w:ascii="Arial" w:hAnsi="Arial"/>
      <w:sz w:val="18"/>
      <w:lang w:val="en-GB" w:eastAsia="uk-UA"/>
    </w:rPr>
  </w:style>
  <w:style w:type="paragraph" w:customStyle="1" w:styleId="Default">
    <w:name w:val="Default"/>
    <w:rsid w:val="00114AC8"/>
    <w:pPr>
      <w:autoSpaceDE w:val="0"/>
      <w:autoSpaceDN w:val="0"/>
      <w:adjustRightInd w:val="0"/>
    </w:pPr>
    <w:rPr>
      <w:color w:val="000000"/>
      <w:sz w:val="24"/>
      <w:szCs w:val="24"/>
      <w:lang w:eastAsia="en-US"/>
    </w:rPr>
  </w:style>
  <w:style w:type="character" w:customStyle="1" w:styleId="aa">
    <w:name w:val="Основной текст_"/>
    <w:link w:val="31"/>
    <w:rsid w:val="002E4AFB"/>
    <w:rPr>
      <w:spacing w:val="5"/>
      <w:sz w:val="19"/>
      <w:szCs w:val="19"/>
      <w:shd w:val="clear" w:color="auto" w:fill="FFFFFF"/>
    </w:rPr>
  </w:style>
  <w:style w:type="paragraph" w:customStyle="1" w:styleId="31">
    <w:name w:val="Основной текст3"/>
    <w:basedOn w:val="a"/>
    <w:link w:val="aa"/>
    <w:rsid w:val="002E4AFB"/>
    <w:pPr>
      <w:widowControl w:val="0"/>
      <w:shd w:val="clear" w:color="auto" w:fill="FFFFFF"/>
      <w:spacing w:line="425" w:lineRule="exact"/>
      <w:ind w:hanging="660"/>
    </w:pPr>
    <w:rPr>
      <w:spacing w:val="5"/>
      <w:sz w:val="19"/>
      <w:szCs w:val="19"/>
      <w:shd w:val="clear" w:color="auto" w:fill="FFFFFF"/>
    </w:rPr>
  </w:style>
  <w:style w:type="paragraph" w:customStyle="1" w:styleId="NormalLeft063cm">
    <w:name w:val="Normal + Left:  0.63 cm"/>
    <w:basedOn w:val="210"/>
    <w:rsid w:val="00CE4D0C"/>
    <w:pPr>
      <w:suppressAutoHyphens/>
      <w:ind w:left="360" w:right="-140"/>
      <w:jc w:val="left"/>
    </w:pPr>
    <w:rPr>
      <w:sz w:val="22"/>
      <w:lang w:eastAsia="ar-SA"/>
    </w:rPr>
  </w:style>
  <w:style w:type="paragraph" w:customStyle="1" w:styleId="ab">
    <w:name w:val="Абзац списку"/>
    <w:basedOn w:val="a"/>
    <w:uiPriority w:val="34"/>
    <w:qFormat/>
    <w:rsid w:val="0029058E"/>
    <w:pPr>
      <w:ind w:left="720"/>
      <w:contextualSpacing/>
    </w:pPr>
  </w:style>
  <w:style w:type="character" w:customStyle="1" w:styleId="10">
    <w:name w:val="Заголовок 1 Знак"/>
    <w:link w:val="1"/>
    <w:rsid w:val="006F1C74"/>
    <w:rPr>
      <w:rFonts w:ascii="Cambria" w:eastAsia="Times New Roman" w:hAnsi="Cambria" w:cs="Times New Roman"/>
      <w:b/>
      <w:bCs/>
      <w:kern w:val="32"/>
      <w:sz w:val="32"/>
      <w:szCs w:val="32"/>
    </w:rPr>
  </w:style>
  <w:style w:type="character" w:styleId="ac">
    <w:name w:val="Hyperlink"/>
    <w:uiPriority w:val="99"/>
    <w:unhideWhenUsed/>
    <w:rsid w:val="00786E32"/>
    <w:rPr>
      <w:color w:val="0000FF"/>
      <w:u w:val="single"/>
    </w:rPr>
  </w:style>
  <w:style w:type="paragraph" w:styleId="ad">
    <w:name w:val="List Paragraph"/>
    <w:basedOn w:val="a"/>
    <w:uiPriority w:val="1"/>
    <w:qFormat/>
    <w:rsid w:val="003471F5"/>
    <w:pPr>
      <w:widowControl w:val="0"/>
      <w:autoSpaceDE w:val="0"/>
      <w:autoSpaceDN w:val="0"/>
      <w:ind w:left="278" w:firstLine="852"/>
      <w:jc w:val="both"/>
    </w:pPr>
    <w:rPr>
      <w:sz w:val="22"/>
      <w:szCs w:val="22"/>
      <w:lang w:val="uk-UA" w:eastAsia="en-US"/>
    </w:rPr>
  </w:style>
  <w:style w:type="character" w:styleId="ae">
    <w:name w:val="Strong"/>
    <w:uiPriority w:val="22"/>
    <w:qFormat/>
    <w:locked/>
    <w:rsid w:val="00004F0B"/>
    <w:rPr>
      <w:b/>
      <w:bCs/>
    </w:rPr>
  </w:style>
  <w:style w:type="paragraph" w:customStyle="1" w:styleId="15">
    <w:name w:val="Абзац списка1"/>
    <w:basedOn w:val="a"/>
    <w:rsid w:val="007744D4"/>
    <w:pPr>
      <w:ind w:left="720"/>
      <w:contextualSpacing/>
    </w:pPr>
    <w:rPr>
      <w:rFonts w:eastAsia="Calibri"/>
    </w:rPr>
  </w:style>
  <w:style w:type="character" w:customStyle="1" w:styleId="UnresolvedMention">
    <w:name w:val="Unresolved Mention"/>
    <w:uiPriority w:val="99"/>
    <w:semiHidden/>
    <w:unhideWhenUsed/>
    <w:rsid w:val="00284DB1"/>
    <w:rPr>
      <w:color w:val="605E5C"/>
      <w:shd w:val="clear" w:color="auto" w:fill="E1DFDD"/>
    </w:rPr>
  </w:style>
  <w:style w:type="character" w:customStyle="1" w:styleId="rvts23">
    <w:name w:val="rvts23"/>
    <w:basedOn w:val="a0"/>
    <w:rsid w:val="00346D94"/>
  </w:style>
  <w:style w:type="paragraph" w:customStyle="1" w:styleId="rvps14">
    <w:name w:val="rvps14"/>
    <w:basedOn w:val="a"/>
    <w:rsid w:val="00346D94"/>
    <w:pPr>
      <w:spacing w:before="100" w:beforeAutospacing="1" w:after="100" w:afterAutospacing="1"/>
    </w:pPr>
  </w:style>
  <w:style w:type="character" w:customStyle="1" w:styleId="rvts9">
    <w:name w:val="rvts9"/>
    <w:basedOn w:val="a0"/>
    <w:rsid w:val="00346D94"/>
  </w:style>
  <w:style w:type="character" w:styleId="af">
    <w:name w:val="Emphasis"/>
    <w:qFormat/>
    <w:locked/>
    <w:rsid w:val="00346D94"/>
    <w:rPr>
      <w:i/>
      <w:iCs/>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208228018">
      <w:bodyDiv w:val="1"/>
      <w:marLeft w:val="0"/>
      <w:marRight w:val="0"/>
      <w:marTop w:val="0"/>
      <w:marBottom w:val="0"/>
      <w:divBdr>
        <w:top w:val="none" w:sz="0" w:space="0" w:color="auto"/>
        <w:left w:val="none" w:sz="0" w:space="0" w:color="auto"/>
        <w:bottom w:val="none" w:sz="0" w:space="0" w:color="auto"/>
        <w:right w:val="none" w:sz="0" w:space="0" w:color="auto"/>
      </w:divBdr>
    </w:div>
    <w:div w:id="630482837">
      <w:bodyDiv w:val="1"/>
      <w:marLeft w:val="0"/>
      <w:marRight w:val="0"/>
      <w:marTop w:val="0"/>
      <w:marBottom w:val="0"/>
      <w:divBdr>
        <w:top w:val="none" w:sz="0" w:space="0" w:color="auto"/>
        <w:left w:val="none" w:sz="0" w:space="0" w:color="auto"/>
        <w:bottom w:val="none" w:sz="0" w:space="0" w:color="auto"/>
        <w:right w:val="none" w:sz="0" w:space="0" w:color="auto"/>
      </w:divBdr>
    </w:div>
    <w:div w:id="1702511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of.gov.ua/storage/files/%D0%86%D0%BD%D1%84%D0%BE%D1%80%D0%BC%D0%B0%D1%86%D1%96%D0%B9%D0%BD%D0%B5%20%D0%BF%D0%BE%D0%B2%D1%96%D0%B4%D0%BE%D0%BC%D0%BB%D0%B5%D0%BD%D0%BD%D1%8F(1).pdf" TargetMode="External"/><Relationship Id="rId13" Type="http://schemas.openxmlformats.org/officeDocument/2006/relationships/hyperlink" Target="https://i.factor.ua/ukr/law-54/section-298/article-5585" TargetMode="External"/><Relationship Id="rId18" Type="http://schemas.openxmlformats.org/officeDocument/2006/relationships/hyperlink" Target="https://i.factor.ua/ukr/law-54/section-301/article-6528" TargetMode="External"/><Relationship Id="rId3" Type="http://schemas.openxmlformats.org/officeDocument/2006/relationships/styles" Target="styles.xml"/><Relationship Id="rId21" Type="http://schemas.openxmlformats.org/officeDocument/2006/relationships/hyperlink" Target="https://ips.ligazakon.net/document/MU17207?utm_source=buh.ligazakon.net&amp;utm_medium=news&amp;utm_campaign=LZtest&amp;utm_content=cons13&amp;_ga=2.106189444.661324626.1603706499-502719920.1572517138" TargetMode="External"/><Relationship Id="rId7" Type="http://schemas.openxmlformats.org/officeDocument/2006/relationships/endnotes" Target="endnotes.xml"/><Relationship Id="rId12" Type="http://schemas.openxmlformats.org/officeDocument/2006/relationships/hyperlink" Target="https://i.factor.ua/ukr/law-54/section-296/article-5480" TargetMode="External"/><Relationship Id="rId17" Type="http://schemas.openxmlformats.org/officeDocument/2006/relationships/hyperlink" Target="https://i.factor.ua/ukr/law-54/section-300/article-6010" TargetMode="External"/><Relationship Id="rId2" Type="http://schemas.openxmlformats.org/officeDocument/2006/relationships/numbering" Target="numbering.xml"/><Relationship Id="rId16" Type="http://schemas.openxmlformats.org/officeDocument/2006/relationships/hyperlink" Target="https://i.factor.ua/ukr/law-54/section-300/article-5952" TargetMode="External"/><Relationship Id="rId20" Type="http://schemas.openxmlformats.org/officeDocument/2006/relationships/hyperlink" Target="https://ips.ligazakon.net/document/MU17207?utm_source=buh.ligazakon.net&amp;utm_medium=news&amp;utm_campaign=LZtest&amp;utm_content=cons1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factor.ua/ukr/law-54/section-296/article-3936" TargetMode="External"/><Relationship Id="rId5" Type="http://schemas.openxmlformats.org/officeDocument/2006/relationships/webSettings" Target="webSettings.xml"/><Relationship Id="rId15" Type="http://schemas.openxmlformats.org/officeDocument/2006/relationships/hyperlink" Target="https://i.factor.ua/ukr/law-54/section-300/article-5904" TargetMode="External"/><Relationship Id="rId23" Type="http://schemas.openxmlformats.org/officeDocument/2006/relationships/theme" Target="theme/theme1.xml"/><Relationship Id="rId10" Type="http://schemas.openxmlformats.org/officeDocument/2006/relationships/hyperlink" Target="https://zakon.rada.gov.ua/laws/show/540-20" TargetMode="External"/><Relationship Id="rId19" Type="http://schemas.openxmlformats.org/officeDocument/2006/relationships/hyperlink" Target="https://cdn.ifrs.org/-/media/feature/supporting-implementation/ifrs-16/ifrs-16-rent-concession-educational-material.pdf?la=en" TargetMode="External"/><Relationship Id="rId4" Type="http://schemas.openxmlformats.org/officeDocument/2006/relationships/settings" Target="settings.xml"/><Relationship Id="rId9" Type="http://schemas.openxmlformats.org/officeDocument/2006/relationships/hyperlink" Target="http://www.frs.gov.ua" TargetMode="External"/><Relationship Id="rId14" Type="http://schemas.openxmlformats.org/officeDocument/2006/relationships/hyperlink" Target="https://i.factor.ua/ukr/law-54/section-300/article-22845"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990FFE-E2F6-4478-B464-802F689AEB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1725</TotalTime>
  <Pages>1</Pages>
  <Words>11488</Words>
  <Characters>65484</Characters>
  <Application>Microsoft Office Word</Application>
  <DocSecurity>0</DocSecurity>
  <Lines>545</Lines>
  <Paragraphs>153</Paragraphs>
  <ScaleCrop>false</ScaleCrop>
  <HeadingPairs>
    <vt:vector size="2" baseType="variant">
      <vt:variant>
        <vt:lpstr>Название</vt:lpstr>
      </vt:variant>
      <vt:variant>
        <vt:i4>1</vt:i4>
      </vt:variant>
    </vt:vector>
  </HeadingPairs>
  <TitlesOfParts>
    <vt:vector size="1" baseType="lpstr">
      <vt:lpstr>Приватне акціонерне товариство «Страхова компанія «Солідарність»</vt:lpstr>
    </vt:vector>
  </TitlesOfParts>
  <Company>corp</Company>
  <LinksUpToDate>false</LinksUpToDate>
  <CharactersWithSpaces>76819</CharactersWithSpaces>
  <SharedDoc>false</SharedDoc>
  <HLinks>
    <vt:vector size="78" baseType="variant">
      <vt:variant>
        <vt:i4>4784185</vt:i4>
      </vt:variant>
      <vt:variant>
        <vt:i4>36</vt:i4>
      </vt:variant>
      <vt:variant>
        <vt:i4>0</vt:i4>
      </vt:variant>
      <vt:variant>
        <vt:i4>5</vt:i4>
      </vt:variant>
      <vt:variant>
        <vt:lpwstr>https://ips.ligazakon.net/document/MU17207?utm_source=buh.ligazakon.net&amp;utm_medium=news&amp;utm_campaign=LZtest&amp;utm_content=cons13&amp;_ga=2.106189444.661324626.1603706499-502719920.1572517138</vt:lpwstr>
      </vt:variant>
      <vt:variant>
        <vt:lpwstr/>
      </vt:variant>
      <vt:variant>
        <vt:i4>4587604</vt:i4>
      </vt:variant>
      <vt:variant>
        <vt:i4>33</vt:i4>
      </vt:variant>
      <vt:variant>
        <vt:i4>0</vt:i4>
      </vt:variant>
      <vt:variant>
        <vt:i4>5</vt:i4>
      </vt:variant>
      <vt:variant>
        <vt:lpwstr>https://ips.ligazakon.net/document/MU17207?utm_source=buh.ligazakon.net&amp;utm_medium=news&amp;utm_campaign=LZtest&amp;utm_content=cons13</vt:lpwstr>
      </vt:variant>
      <vt:variant>
        <vt:lpwstr/>
      </vt:variant>
      <vt:variant>
        <vt:i4>196633</vt:i4>
      </vt:variant>
      <vt:variant>
        <vt:i4>30</vt:i4>
      </vt:variant>
      <vt:variant>
        <vt:i4>0</vt:i4>
      </vt:variant>
      <vt:variant>
        <vt:i4>5</vt:i4>
      </vt:variant>
      <vt:variant>
        <vt:lpwstr>https://cdn.ifrs.org/-/media/feature/supporting-implementation/ifrs-16/ifrs-16-rent-concession-educational-material.pdf?la=en</vt:lpwstr>
      </vt:variant>
      <vt:variant>
        <vt:lpwstr/>
      </vt:variant>
      <vt:variant>
        <vt:i4>3932201</vt:i4>
      </vt:variant>
      <vt:variant>
        <vt:i4>27</vt:i4>
      </vt:variant>
      <vt:variant>
        <vt:i4>0</vt:i4>
      </vt:variant>
      <vt:variant>
        <vt:i4>5</vt:i4>
      </vt:variant>
      <vt:variant>
        <vt:lpwstr>https://i.factor.ua/ukr/law-54/section-301/article-6528</vt:lpwstr>
      </vt:variant>
      <vt:variant>
        <vt:lpwstr/>
      </vt:variant>
      <vt:variant>
        <vt:i4>4063276</vt:i4>
      </vt:variant>
      <vt:variant>
        <vt:i4>24</vt:i4>
      </vt:variant>
      <vt:variant>
        <vt:i4>0</vt:i4>
      </vt:variant>
      <vt:variant>
        <vt:i4>5</vt:i4>
      </vt:variant>
      <vt:variant>
        <vt:lpwstr>https://i.factor.ua/ukr/law-54/section-300/article-6010</vt:lpwstr>
      </vt:variant>
      <vt:variant>
        <vt:lpwstr/>
      </vt:variant>
      <vt:variant>
        <vt:i4>3735589</vt:i4>
      </vt:variant>
      <vt:variant>
        <vt:i4>21</vt:i4>
      </vt:variant>
      <vt:variant>
        <vt:i4>0</vt:i4>
      </vt:variant>
      <vt:variant>
        <vt:i4>5</vt:i4>
      </vt:variant>
      <vt:variant>
        <vt:lpwstr>https://i.factor.ua/ukr/law-54/section-300/article-5952</vt:lpwstr>
      </vt:variant>
      <vt:variant>
        <vt:lpwstr/>
      </vt:variant>
      <vt:variant>
        <vt:i4>3932197</vt:i4>
      </vt:variant>
      <vt:variant>
        <vt:i4>18</vt:i4>
      </vt:variant>
      <vt:variant>
        <vt:i4>0</vt:i4>
      </vt:variant>
      <vt:variant>
        <vt:i4>5</vt:i4>
      </vt:variant>
      <vt:variant>
        <vt:lpwstr>https://i.factor.ua/ukr/law-54/section-300/article-5904</vt:lpwstr>
      </vt:variant>
      <vt:variant>
        <vt:lpwstr/>
      </vt:variant>
      <vt:variant>
        <vt:i4>393242</vt:i4>
      </vt:variant>
      <vt:variant>
        <vt:i4>15</vt:i4>
      </vt:variant>
      <vt:variant>
        <vt:i4>0</vt:i4>
      </vt:variant>
      <vt:variant>
        <vt:i4>5</vt:i4>
      </vt:variant>
      <vt:variant>
        <vt:lpwstr>https://i.factor.ua/ukr/law-54/section-300/article-22845</vt:lpwstr>
      </vt:variant>
      <vt:variant>
        <vt:lpwstr/>
      </vt:variant>
      <vt:variant>
        <vt:i4>3997728</vt:i4>
      </vt:variant>
      <vt:variant>
        <vt:i4>12</vt:i4>
      </vt:variant>
      <vt:variant>
        <vt:i4>0</vt:i4>
      </vt:variant>
      <vt:variant>
        <vt:i4>5</vt:i4>
      </vt:variant>
      <vt:variant>
        <vt:lpwstr>https://i.factor.ua/ukr/law-54/section-298/article-5585</vt:lpwstr>
      </vt:variant>
      <vt:variant>
        <vt:lpwstr/>
      </vt:variant>
      <vt:variant>
        <vt:i4>3342369</vt:i4>
      </vt:variant>
      <vt:variant>
        <vt:i4>9</vt:i4>
      </vt:variant>
      <vt:variant>
        <vt:i4>0</vt:i4>
      </vt:variant>
      <vt:variant>
        <vt:i4>5</vt:i4>
      </vt:variant>
      <vt:variant>
        <vt:lpwstr>https://i.factor.ua/ukr/law-54/section-296/article-5480</vt:lpwstr>
      </vt:variant>
      <vt:variant>
        <vt:lpwstr/>
      </vt:variant>
      <vt:variant>
        <vt:i4>4063276</vt:i4>
      </vt:variant>
      <vt:variant>
        <vt:i4>6</vt:i4>
      </vt:variant>
      <vt:variant>
        <vt:i4>0</vt:i4>
      </vt:variant>
      <vt:variant>
        <vt:i4>5</vt:i4>
      </vt:variant>
      <vt:variant>
        <vt:lpwstr>https://i.factor.ua/ukr/law-54/section-296/article-3936</vt:lpwstr>
      </vt:variant>
      <vt:variant>
        <vt:lpwstr/>
      </vt:variant>
      <vt:variant>
        <vt:i4>7471163</vt:i4>
      </vt:variant>
      <vt:variant>
        <vt:i4>3</vt:i4>
      </vt:variant>
      <vt:variant>
        <vt:i4>0</vt:i4>
      </vt:variant>
      <vt:variant>
        <vt:i4>5</vt:i4>
      </vt:variant>
      <vt:variant>
        <vt:lpwstr>https://zakon.rada.gov.ua/laws/show/540-20</vt:lpwstr>
      </vt:variant>
      <vt:variant>
        <vt:lpwstr/>
      </vt:variant>
      <vt:variant>
        <vt:i4>7667756</vt:i4>
      </vt:variant>
      <vt:variant>
        <vt:i4>0</vt:i4>
      </vt:variant>
      <vt:variant>
        <vt:i4>0</vt:i4>
      </vt:variant>
      <vt:variant>
        <vt:i4>5</vt:i4>
      </vt:variant>
      <vt:variant>
        <vt:lpwstr>http://www.frs.gov.ua/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Приватне акціонерне товариство «Страхова компанія «Солідарність»</dc:title>
  <dc:subject/>
  <dc:creator>user</dc:creator>
  <cp:keywords/>
  <cp:lastModifiedBy>User</cp:lastModifiedBy>
  <cp:revision>12</cp:revision>
  <cp:lastPrinted>2022-10-04T10:29:00Z</cp:lastPrinted>
  <dcterms:created xsi:type="dcterms:W3CDTF">2022-09-19T14:01:00Z</dcterms:created>
  <dcterms:modified xsi:type="dcterms:W3CDTF">2022-10-04T11:18:00Z</dcterms:modified>
</cp:coreProperties>
</file>